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方正小标宋_GBK" w:hAnsi="方正小标宋_GBK" w:eastAsia="方正小标宋简体" w:cs="方正小标宋_GBK"/>
          <w:kern w:val="0"/>
          <w:sz w:val="36"/>
          <w:szCs w:val="36"/>
          <w:lang w:val="en-US" w:eastAsia="zh-CN"/>
        </w:rPr>
      </w:pPr>
      <w:r>
        <w:rPr>
          <w:rFonts w:hint="eastAsia" w:ascii="方正小标宋简体" w:hAnsi="方正小标宋简体" w:eastAsia="方正小标宋简体" w:cs="方正小标宋简体"/>
          <w:kern w:val="0"/>
          <w:sz w:val="44"/>
          <w:szCs w:val="44"/>
          <w:lang w:val="en-US" w:eastAsia="zh-CN"/>
        </w:rPr>
        <w:t>鄂州市</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1-6月）公平竞争</w:t>
      </w:r>
      <w:r>
        <w:rPr>
          <w:rFonts w:hint="eastAsia" w:ascii="方正小标宋简体" w:hAnsi="方正小标宋简体" w:eastAsia="方正小标宋简体" w:cs="方正小标宋简体"/>
          <w:kern w:val="0"/>
          <w:sz w:val="44"/>
          <w:szCs w:val="44"/>
        </w:rPr>
        <w:t>审查</w:t>
      </w:r>
      <w:r>
        <w:rPr>
          <w:rFonts w:hint="eastAsia" w:ascii="方正小标宋简体" w:hAnsi="方正小标宋简体" w:eastAsia="方正小标宋简体" w:cs="方正小标宋简体"/>
          <w:kern w:val="0"/>
          <w:sz w:val="44"/>
          <w:szCs w:val="44"/>
          <w:lang w:val="en-US" w:eastAsia="zh-CN"/>
        </w:rPr>
        <w:t>结果清单</w:t>
      </w:r>
    </w:p>
    <w:p>
      <w:pPr>
        <w:widowControl/>
        <w:spacing w:line="560" w:lineRule="exac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w:t>
      </w:r>
    </w:p>
    <w:tbl>
      <w:tblPr>
        <w:tblStyle w:val="5"/>
        <w:tblW w:w="14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000"/>
        <w:gridCol w:w="509"/>
        <w:gridCol w:w="2340"/>
        <w:gridCol w:w="720"/>
        <w:gridCol w:w="3765"/>
        <w:gridCol w:w="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01" w:type="dxa"/>
            <w:vMerge w:val="restart"/>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3000" w:type="dxa"/>
            <w:vMerge w:val="restart"/>
            <w:noWrap/>
            <w:vAlign w:val="center"/>
          </w:tcPr>
          <w:p>
            <w:pPr>
              <w:widowControl/>
              <w:spacing w:line="300" w:lineRule="exact"/>
              <w:jc w:val="center"/>
              <w:rPr>
                <w:rFonts w:hint="eastAsia" w:ascii="黑体" w:hAnsi="黑体" w:eastAsia="黑体" w:cs="黑体"/>
                <w:kern w:val="0"/>
                <w:sz w:val="21"/>
                <w:szCs w:val="21"/>
                <w:lang w:val="en-US" w:eastAsia="zh-CN"/>
              </w:rPr>
            </w:pPr>
            <w:r>
              <w:rPr>
                <w:rFonts w:hint="eastAsia" w:ascii="黑体" w:hAnsi="黑体" w:eastAsia="黑体" w:cs="黑体"/>
                <w:kern w:val="0"/>
                <w:sz w:val="21"/>
                <w:szCs w:val="21"/>
              </w:rPr>
              <w:t>文件名称</w:t>
            </w:r>
            <w:r>
              <w:rPr>
                <w:rFonts w:hint="eastAsia" w:ascii="黑体" w:hAnsi="黑体" w:eastAsia="黑体" w:cs="黑体"/>
                <w:kern w:val="0"/>
                <w:sz w:val="21"/>
                <w:szCs w:val="21"/>
                <w:lang w:eastAsia="zh-CN"/>
              </w:rPr>
              <w:t>、</w:t>
            </w:r>
            <w:r>
              <w:rPr>
                <w:rFonts w:hint="eastAsia" w:ascii="黑体" w:hAnsi="黑体" w:eastAsia="黑体" w:cs="黑体"/>
                <w:kern w:val="0"/>
                <w:sz w:val="21"/>
                <w:szCs w:val="21"/>
                <w:lang w:val="en-US" w:eastAsia="zh-CN"/>
              </w:rPr>
              <w:t>文号</w:t>
            </w:r>
          </w:p>
        </w:tc>
        <w:tc>
          <w:tcPr>
            <w:tcW w:w="509" w:type="dxa"/>
            <w:vMerge w:val="restart"/>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是否违反审查标准</w:t>
            </w:r>
          </w:p>
        </w:tc>
        <w:tc>
          <w:tcPr>
            <w:tcW w:w="2340" w:type="dxa"/>
            <w:vMerge w:val="restart"/>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具体违反情形</w:t>
            </w:r>
          </w:p>
        </w:tc>
        <w:tc>
          <w:tcPr>
            <w:tcW w:w="720" w:type="dxa"/>
            <w:vMerge w:val="restart"/>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是否修改出台</w:t>
            </w:r>
          </w:p>
        </w:tc>
        <w:tc>
          <w:tcPr>
            <w:tcW w:w="7035" w:type="dxa"/>
            <w:gridSpan w:val="3"/>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修改前后内容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01" w:type="dxa"/>
            <w:vMerge w:val="continue"/>
            <w:noWrap/>
            <w:vAlign w:val="center"/>
          </w:tcPr>
          <w:p>
            <w:pPr>
              <w:widowControl/>
              <w:spacing w:line="300" w:lineRule="exact"/>
              <w:jc w:val="center"/>
              <w:rPr>
                <w:rFonts w:hint="eastAsia" w:ascii="黑体" w:hAnsi="黑体" w:eastAsia="黑体" w:cs="黑体"/>
                <w:kern w:val="0"/>
                <w:sz w:val="21"/>
                <w:szCs w:val="21"/>
              </w:rPr>
            </w:pPr>
          </w:p>
        </w:tc>
        <w:tc>
          <w:tcPr>
            <w:tcW w:w="3000" w:type="dxa"/>
            <w:vMerge w:val="continue"/>
            <w:noWrap/>
            <w:vAlign w:val="center"/>
          </w:tcPr>
          <w:p>
            <w:pPr>
              <w:widowControl/>
              <w:spacing w:line="300" w:lineRule="exact"/>
              <w:jc w:val="center"/>
              <w:rPr>
                <w:rFonts w:hint="eastAsia" w:ascii="黑体" w:hAnsi="黑体" w:eastAsia="黑体" w:cs="黑体"/>
                <w:kern w:val="0"/>
                <w:sz w:val="21"/>
                <w:szCs w:val="21"/>
              </w:rPr>
            </w:pPr>
          </w:p>
        </w:tc>
        <w:tc>
          <w:tcPr>
            <w:tcW w:w="509" w:type="dxa"/>
            <w:vMerge w:val="continue"/>
            <w:noWrap/>
            <w:vAlign w:val="center"/>
          </w:tcPr>
          <w:p>
            <w:pPr>
              <w:widowControl/>
              <w:spacing w:line="300" w:lineRule="exact"/>
              <w:jc w:val="center"/>
              <w:rPr>
                <w:rFonts w:hint="eastAsia" w:ascii="黑体" w:hAnsi="黑体" w:eastAsia="黑体" w:cs="黑体"/>
                <w:kern w:val="0"/>
                <w:sz w:val="21"/>
                <w:szCs w:val="21"/>
              </w:rPr>
            </w:pPr>
          </w:p>
        </w:tc>
        <w:tc>
          <w:tcPr>
            <w:tcW w:w="2340" w:type="dxa"/>
            <w:vMerge w:val="continue"/>
            <w:noWrap/>
            <w:vAlign w:val="center"/>
          </w:tcPr>
          <w:p>
            <w:pPr>
              <w:widowControl/>
              <w:spacing w:line="300" w:lineRule="exact"/>
              <w:jc w:val="center"/>
              <w:rPr>
                <w:rFonts w:hint="eastAsia" w:ascii="黑体" w:hAnsi="黑体" w:eastAsia="黑体" w:cs="黑体"/>
                <w:kern w:val="0"/>
                <w:sz w:val="21"/>
                <w:szCs w:val="21"/>
              </w:rPr>
            </w:pPr>
          </w:p>
        </w:tc>
        <w:tc>
          <w:tcPr>
            <w:tcW w:w="720" w:type="dxa"/>
            <w:vMerge w:val="continue"/>
            <w:noWrap/>
            <w:vAlign w:val="center"/>
          </w:tcPr>
          <w:p>
            <w:pPr>
              <w:widowControl/>
              <w:spacing w:line="300" w:lineRule="exact"/>
              <w:jc w:val="center"/>
              <w:rPr>
                <w:rFonts w:hint="eastAsia" w:ascii="黑体" w:hAnsi="黑体" w:eastAsia="黑体" w:cs="黑体"/>
                <w:kern w:val="0"/>
                <w:sz w:val="21"/>
                <w:szCs w:val="21"/>
              </w:rPr>
            </w:pPr>
          </w:p>
        </w:tc>
        <w:tc>
          <w:tcPr>
            <w:tcW w:w="3765" w:type="dxa"/>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修改前内容</w:t>
            </w:r>
          </w:p>
        </w:tc>
        <w:tc>
          <w:tcPr>
            <w:tcW w:w="3270" w:type="dxa"/>
            <w:gridSpan w:val="2"/>
            <w:noWrap/>
            <w:vAlign w:val="center"/>
          </w:tcPr>
          <w:p>
            <w:pPr>
              <w:widowControl/>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default" w:hAnsi="仿宋" w:eastAsia="仿宋" w:cs="仿宋"/>
                <w:color w:val="000000"/>
                <w:kern w:val="0"/>
                <w:sz w:val="21"/>
                <w:szCs w:val="21"/>
                <w:lang w:val="en-US" w:eastAsia="zh-CN"/>
              </w:rPr>
              <w:t>1</w:t>
            </w:r>
          </w:p>
        </w:tc>
        <w:tc>
          <w:tcPr>
            <w:tcW w:w="3000" w:type="dxa"/>
            <w:noWra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鄂州市人民政府中国科技开发院战略合作框架协议</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是</w:t>
            </w:r>
          </w:p>
        </w:tc>
        <w:tc>
          <w:tcPr>
            <w:tcW w:w="2340" w:type="dxa"/>
            <w:noWrap/>
          </w:tcPr>
          <w:p>
            <w:pPr>
              <w:widowControl/>
              <w:spacing w:line="300" w:lineRule="exact"/>
              <w:jc w:val="left"/>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eastAsia="zh-CN"/>
              </w:rPr>
              <w:t>第三条第（一）款第2项、第（二）款“甲方指定”内容涉嫌</w:t>
            </w:r>
            <w:r>
              <w:rPr>
                <w:rFonts w:hint="eastAsia" w:ascii="仿宋" w:hAnsi="仿宋" w:eastAsia="仿宋" w:cs="仿宋"/>
                <w:color w:val="000000"/>
                <w:kern w:val="0"/>
                <w:sz w:val="21"/>
                <w:szCs w:val="21"/>
                <w:lang w:val="en-US" w:eastAsia="zh-CN"/>
              </w:rPr>
              <w:t>违反公平竞争审查制度中“市场准入和退出标准”关于</w:t>
            </w:r>
            <w:r>
              <w:rPr>
                <w:rFonts w:hint="eastAsia" w:ascii="仿宋" w:hAnsi="仿宋" w:eastAsia="仿宋" w:cs="仿宋"/>
                <w:color w:val="000000"/>
                <w:kern w:val="0"/>
                <w:sz w:val="21"/>
                <w:szCs w:val="21"/>
                <w:lang w:eastAsia="zh-CN"/>
              </w:rPr>
              <w:t>采购法招投标法</w:t>
            </w:r>
            <w:r>
              <w:rPr>
                <w:rFonts w:hint="eastAsia" w:ascii="仿宋" w:hAnsi="仿宋" w:eastAsia="仿宋" w:cs="仿宋"/>
                <w:color w:val="000000"/>
                <w:kern w:val="0"/>
                <w:sz w:val="21"/>
                <w:szCs w:val="21"/>
                <w:lang w:val="en-US" w:eastAsia="zh-CN"/>
              </w:rPr>
              <w:t>规定</w:t>
            </w:r>
          </w:p>
        </w:tc>
        <w:tc>
          <w:tcPr>
            <w:tcW w:w="720" w:type="dxa"/>
            <w:noWrap/>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是</w:t>
            </w:r>
          </w:p>
        </w:tc>
        <w:tc>
          <w:tcPr>
            <w:tcW w:w="3768" w:type="dxa"/>
            <w:gridSpan w:val="2"/>
            <w:noWrap/>
          </w:tcPr>
          <w:p>
            <w:pPr>
              <w:widowControl/>
              <w:spacing w:line="300" w:lineRule="exac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第三条第（一）款第2项 甲方指定葛店开发区、临空经济区、鄂城区等区域的政府职能单位分别委托中开院就区域经济发展、产业培育、构建创新孵化生态体系等方面进行专题研究编制，待相关商务条件谈妥并签订合同后执行。</w:t>
            </w:r>
          </w:p>
          <w:p>
            <w:pPr>
              <w:pStyle w:val="2"/>
              <w:ind w:firstLine="0" w:firstLineChars="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第三条</w:t>
            </w:r>
            <w:r>
              <w:rPr>
                <w:rFonts w:hint="eastAsia" w:ascii="仿宋" w:hAnsi="仿宋" w:eastAsia="仿宋" w:cs="仿宋"/>
                <w:color w:val="000000"/>
                <w:kern w:val="0"/>
                <w:sz w:val="21"/>
                <w:szCs w:val="21"/>
                <w:lang w:eastAsia="zh-CN"/>
              </w:rPr>
              <w:t>第（二）款 甲方指定葛店开发区、临空经济区的政府职能单位分别梳理现有办公楼宇、空置标准厂房及土地规划情况，支持中开院在两区分别建立孵化基地，其中葛店开发区采用轻重资产相结合模式、临空经济区采用轻资产模式。孵化基地内成立创新产业研究院，导入人才、技术、项目和产业，合作期内孵化基地吸引产业投资达产规模不低于</w:t>
            </w:r>
            <w:r>
              <w:rPr>
                <w:rFonts w:hint="eastAsia" w:ascii="仿宋" w:hAnsi="仿宋" w:eastAsia="仿宋" w:cs="仿宋"/>
                <w:color w:val="000000"/>
                <w:kern w:val="0"/>
                <w:sz w:val="21"/>
                <w:szCs w:val="21"/>
                <w:lang w:val="en-US" w:eastAsia="zh-CN"/>
              </w:rPr>
              <w:t>50亿元。同时甲方争取在中开院里成立鄂州(深圳)孵化基地，专题对接中开院孵化项目和粤港澳大湾区头部企业。</w:t>
            </w:r>
          </w:p>
        </w:tc>
        <w:tc>
          <w:tcPr>
            <w:tcW w:w="3267" w:type="dxa"/>
            <w:noWrap/>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删去“甲方指定”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3000" w:type="dxa"/>
            <w:noWra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sz w:val="21"/>
                <w:szCs w:val="21"/>
                <w:vertAlign w:val="baseline"/>
                <w:lang w:val="en-US" w:eastAsia="zh-CN"/>
              </w:rPr>
              <w:t>《武汉城市圈公共交通一体化促进条例》</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是</w:t>
            </w:r>
          </w:p>
        </w:tc>
        <w:tc>
          <w:tcPr>
            <w:tcW w:w="2340" w:type="dxa"/>
            <w:noWrap/>
          </w:tcPr>
          <w:p>
            <w:pPr>
              <w:widowControl/>
              <w:spacing w:line="300" w:lineRule="exact"/>
              <w:jc w:val="center"/>
              <w:rPr>
                <w:rFonts w:hint="default" w:ascii="仿宋" w:hAnsi="仿宋" w:eastAsia="仿宋" w:cs="仿宋"/>
                <w:color w:val="000000"/>
                <w:kern w:val="0"/>
                <w:sz w:val="21"/>
                <w:szCs w:val="21"/>
                <w:lang w:val="en-US"/>
              </w:rPr>
            </w:pPr>
            <w:r>
              <w:rPr>
                <w:rFonts w:hint="eastAsia" w:ascii="仿宋" w:hAnsi="仿宋" w:eastAsia="仿宋" w:cs="仿宋"/>
                <w:sz w:val="21"/>
                <w:szCs w:val="21"/>
                <w:vertAlign w:val="baseline"/>
                <w:lang w:val="en-US" w:eastAsia="zh-CN"/>
              </w:rPr>
              <w:t>违反《公平竞争审查实施细则》影响生产经营成本标准</w:t>
            </w: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第十七条 经营者注册地人民政府应当给予必要的财政补贴和政策支持。</w:t>
            </w:r>
          </w:p>
        </w:tc>
        <w:tc>
          <w:tcPr>
            <w:tcW w:w="3267" w:type="dxa"/>
            <w:noWrap/>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已删除该条。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3000" w:type="dxa"/>
            <w:noWrap/>
          </w:tcPr>
          <w:p>
            <w:pPr>
              <w:adjustRightInd w:val="0"/>
              <w:snapToGrid w:val="0"/>
              <w:spacing w:beforeLines="0" w:afterLines="0"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关于落实稳住经济一揽子政策</w:t>
            </w:r>
          </w:p>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sz w:val="21"/>
                <w:szCs w:val="21"/>
                <w:lang w:eastAsia="zh-CN"/>
              </w:rPr>
              <w:t>进一步加大政府采购支持中小企业力度的通知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Theme="minorEastAsia" w:hAnsiTheme="minorEastAsia" w:eastAsiaTheme="minorEastAsia" w:cstheme="minorEastAsia"/>
                <w:color w:val="000000"/>
                <w:kern w:val="0"/>
                <w:sz w:val="21"/>
                <w:szCs w:val="21"/>
                <w:lang w:val="en-US" w:eastAsia="zh-CN"/>
              </w:rPr>
            </w:pPr>
          </w:p>
        </w:tc>
        <w:tc>
          <w:tcPr>
            <w:tcW w:w="720" w:type="dxa"/>
            <w:noWrap/>
          </w:tcPr>
          <w:p>
            <w:pPr>
              <w:widowControl/>
              <w:spacing w:line="300" w:lineRule="exact"/>
              <w:jc w:val="center"/>
              <w:rPr>
                <w:rFonts w:hint="eastAsia" w:asciiTheme="minorEastAsia" w:hAnsiTheme="minorEastAsia" w:eastAsiaTheme="minorEastAsia" w:cstheme="minorEastAsia"/>
                <w:color w:val="000000"/>
                <w:kern w:val="0"/>
                <w:sz w:val="21"/>
                <w:szCs w:val="21"/>
              </w:rPr>
            </w:pPr>
          </w:p>
        </w:tc>
        <w:tc>
          <w:tcPr>
            <w:tcW w:w="3768" w:type="dxa"/>
            <w:gridSpan w:val="2"/>
            <w:noWrap/>
          </w:tcPr>
          <w:p>
            <w:pPr>
              <w:widowControl/>
              <w:spacing w:line="300" w:lineRule="exact"/>
              <w:jc w:val="center"/>
              <w:rPr>
                <w:rFonts w:hint="eastAsia" w:asciiTheme="minorEastAsia" w:hAnsiTheme="minorEastAsia" w:eastAsiaTheme="minorEastAsia" w:cstheme="minorEastAsia"/>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鄂州市建筑垃圾管理办法</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lang w:val="en-US" w:eastAsia="zh-CN"/>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鄂州市城市绿化实施办法</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《鄂州市城镇污水排入排水管网许可管理实施细则》</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《鄂州市市级粮食储备管理办法》</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《鄂州市服务业发展“十四五”规划》</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鄂州市粮食收购贷款信用保证基金管理暂行办法</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市政府国资委出资企业工总额预算管理办法（试行）</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市政府国资委授权放权清单（</w:t>
            </w:r>
            <w:r>
              <w:rPr>
                <w:rFonts w:hint="eastAsia" w:ascii="仿宋" w:hAnsi="仿宋" w:eastAsia="仿宋" w:cs="仿宋"/>
                <w:color w:val="000000"/>
                <w:kern w:val="0"/>
                <w:sz w:val="21"/>
                <w:szCs w:val="21"/>
                <w:lang w:val="en-US" w:eastAsia="zh-CN"/>
              </w:rPr>
              <w:t>2022年版</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p>
        </w:tc>
        <w:tc>
          <w:tcPr>
            <w:tcW w:w="3000" w:type="dxa"/>
            <w:noWrap/>
          </w:tcPr>
          <w:p>
            <w:pPr>
              <w:widowControl/>
              <w:spacing w:line="300" w:lineRule="exact"/>
              <w:jc w:val="both"/>
              <w:rPr>
                <w:rFonts w:hint="eastAsia" w:ascii="仿宋" w:hAnsi="仿宋" w:eastAsia="仿宋" w:cs="仿宋"/>
                <w:color w:val="000000"/>
                <w:kern w:val="0"/>
                <w:sz w:val="21"/>
                <w:szCs w:val="21"/>
              </w:rPr>
            </w:pP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3000" w:type="dxa"/>
            <w:noWrap/>
            <w:vAlign w:val="top"/>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鄂州市临床医学研究中心认定管理办法》</w:t>
            </w:r>
            <w:r>
              <w:rPr>
                <w:rFonts w:hint="eastAsia" w:ascii="仿宋" w:hAnsi="仿宋" w:eastAsia="仿宋" w:cs="仿宋"/>
                <w:color w:val="000000"/>
                <w:kern w:val="0"/>
                <w:sz w:val="21"/>
                <w:szCs w:val="21"/>
                <w:lang w:eastAsia="zh-CN"/>
              </w:rPr>
              <w:t>鄂州科技文</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rPr>
              <w:t>9号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《鄂州市科技特派员管理办法》</w:t>
            </w:r>
            <w:r>
              <w:rPr>
                <w:rFonts w:hint="eastAsia" w:ascii="仿宋" w:hAnsi="仿宋" w:eastAsia="仿宋" w:cs="仿宋"/>
                <w:color w:val="000000"/>
                <w:kern w:val="0"/>
                <w:sz w:val="21"/>
                <w:szCs w:val="21"/>
                <w:lang w:eastAsia="zh-CN"/>
              </w:rPr>
              <w:t>鄂州科技文</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rPr>
              <w:t>5号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14</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《鄂州市技术创新中心管理办法 （试行）》</w:t>
            </w:r>
            <w:r>
              <w:rPr>
                <w:rFonts w:hint="eastAsia" w:ascii="仿宋" w:hAnsi="仿宋" w:eastAsia="仿宋" w:cs="仿宋"/>
                <w:color w:val="000000"/>
                <w:kern w:val="0"/>
                <w:sz w:val="21"/>
                <w:szCs w:val="21"/>
                <w:lang w:eastAsia="zh-CN"/>
              </w:rPr>
              <w:t>鄂州科技文</w:t>
            </w:r>
            <w:r>
              <w:rPr>
                <w:rFonts w:hint="eastAsia" w:ascii="仿宋" w:hAnsi="仿宋" w:eastAsia="仿宋" w:cs="仿宋"/>
                <w:color w:val="000000"/>
                <w:kern w:val="0"/>
                <w:sz w:val="21"/>
                <w:szCs w:val="21"/>
                <w:lang w:val="en-US" w:eastAsia="zh-CN"/>
              </w:rPr>
              <w:t>[2022]10号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《鄂州市科技创新平台绩效考核管理办法（试行）》</w:t>
            </w:r>
            <w:r>
              <w:rPr>
                <w:rFonts w:hint="eastAsia" w:ascii="仿宋" w:hAnsi="仿宋" w:eastAsia="仿宋" w:cs="仿宋"/>
                <w:color w:val="000000"/>
                <w:kern w:val="0"/>
                <w:sz w:val="21"/>
                <w:szCs w:val="21"/>
                <w:lang w:eastAsia="zh-CN"/>
              </w:rPr>
              <w:t>鄂州科技文</w:t>
            </w:r>
            <w:r>
              <w:rPr>
                <w:rFonts w:hint="eastAsia" w:ascii="仿宋" w:hAnsi="仿宋" w:eastAsia="仿宋" w:cs="仿宋"/>
                <w:color w:val="000000"/>
                <w:kern w:val="0"/>
                <w:sz w:val="21"/>
                <w:szCs w:val="21"/>
                <w:lang w:val="en-US" w:eastAsia="zh-CN"/>
              </w:rPr>
              <w:t>[2022]12号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16</w:t>
            </w:r>
          </w:p>
        </w:tc>
        <w:tc>
          <w:tcPr>
            <w:tcW w:w="3000" w:type="dxa"/>
            <w:noWrap/>
            <w:vAlign w:val="top"/>
          </w:tcPr>
          <w:p>
            <w:pPr>
              <w:widowControl/>
              <w:spacing w:line="320" w:lineRule="exact"/>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rPr>
              <w:t>鄂州市科技创新券实施方案》</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鄂州科技</w:t>
            </w:r>
            <w:r>
              <w:rPr>
                <w:rFonts w:hint="eastAsia" w:ascii="仿宋" w:hAnsi="仿宋" w:eastAsia="仿宋" w:cs="仿宋"/>
                <w:kern w:val="0"/>
                <w:sz w:val="21"/>
                <w:szCs w:val="21"/>
                <w:lang w:eastAsia="zh-CN"/>
              </w:rPr>
              <w:t>文〔2022〕24号）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17</w:t>
            </w:r>
          </w:p>
        </w:tc>
        <w:tc>
          <w:tcPr>
            <w:tcW w:w="3000"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关于印发</w:t>
            </w:r>
            <w:r>
              <w:rPr>
                <w:rFonts w:hint="eastAsia" w:ascii="仿宋" w:hAnsi="仿宋" w:eastAsia="仿宋" w:cs="仿宋"/>
                <w:color w:val="000000"/>
                <w:kern w:val="0"/>
                <w:sz w:val="21"/>
                <w:szCs w:val="21"/>
              </w:rPr>
              <w:t>《鄂州市关于〈湖北省城乡公益性安葬设施建设“十四五”规划〉实施方案》的通知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w:t>
            </w:r>
          </w:p>
        </w:tc>
        <w:tc>
          <w:tcPr>
            <w:tcW w:w="3000"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鄂州市贯彻落实</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湖北省养老服务体系建设“十四五”规划</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实施方案</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w:t>
            </w:r>
          </w:p>
        </w:tc>
        <w:tc>
          <w:tcPr>
            <w:tcW w:w="3000" w:type="dxa"/>
            <w:noWrap/>
            <w:vAlign w:val="center"/>
          </w:tcPr>
          <w:p>
            <w:pPr>
              <w:widowControl/>
              <w:spacing w:line="30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中国人民银行鄂州市中心支行关于印发《鄂州市金融支持稳企纾困的若干措施》（鄂州银〔2022〕25号）</w:t>
            </w:r>
          </w:p>
        </w:tc>
        <w:tc>
          <w:tcPr>
            <w:tcW w:w="509" w:type="dxa"/>
            <w:noWrap/>
            <w:vAlign w:val="center"/>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20</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市市场监管局关于开展食品安全“守底线、查隐患、保安全”专项行动的通知</w:t>
            </w:r>
            <w:r>
              <w:rPr>
                <w:rFonts w:hint="eastAsia" w:ascii="仿宋" w:hAnsi="仿宋" w:eastAsia="仿宋" w:cs="仿宋"/>
                <w:color w:val="000000"/>
                <w:kern w:val="0"/>
                <w:sz w:val="21"/>
                <w:szCs w:val="21"/>
                <w:lang w:eastAsia="zh-CN"/>
              </w:rPr>
              <w:t>（鄂州市监食协函〔</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4号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21</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鄂州市市场监管局关于开展校园周边销售“三无”学生用品专项清理工作的通知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22</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鄂州市市场监督管理局办公室关于开展药品安全领域专项整治行动的通知</w:t>
            </w:r>
            <w:r>
              <w:rPr>
                <w:rFonts w:hint="eastAsia" w:ascii="仿宋" w:hAnsi="仿宋" w:eastAsia="仿宋" w:cs="仿宋"/>
                <w:color w:val="000000"/>
                <w:kern w:val="0"/>
                <w:sz w:val="21"/>
                <w:szCs w:val="21"/>
                <w:lang w:eastAsia="zh-CN"/>
              </w:rPr>
              <w:t>（鄂州市监办〔</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5号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23</w:t>
            </w:r>
          </w:p>
        </w:tc>
        <w:tc>
          <w:tcPr>
            <w:tcW w:w="3000" w:type="dxa"/>
            <w:noWrap/>
            <w:vAlign w:val="center"/>
          </w:tcPr>
          <w:p>
            <w:pPr>
              <w:keepNext w:val="0"/>
              <w:keepLines w:val="0"/>
              <w:widowControl/>
              <w:suppressLineNumbers w:val="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《关于进一步开展保主体、增岗位、促就业工作的通知》鄂</w:t>
            </w:r>
            <w:r>
              <w:rPr>
                <w:rFonts w:hint="eastAsia" w:ascii="仿宋" w:hAnsi="仿宋" w:eastAsia="仿宋" w:cs="仿宋"/>
                <w:color w:val="000000"/>
                <w:kern w:val="0"/>
                <w:sz w:val="21"/>
                <w:szCs w:val="21"/>
                <w:lang w:val="en-US" w:eastAsia="zh-CN"/>
              </w:rPr>
              <w:t>州人社发〔2022〕6号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关于印发《市市场监管局2022年度无证无照经营综合治理实施方案》 的通知</w:t>
            </w:r>
            <w:r>
              <w:rPr>
                <w:rFonts w:hint="eastAsia" w:ascii="仿宋" w:hAnsi="仿宋" w:eastAsia="仿宋" w:cs="仿宋"/>
                <w:color w:val="000000"/>
                <w:kern w:val="0"/>
                <w:sz w:val="21"/>
                <w:szCs w:val="21"/>
                <w:lang w:eastAsia="zh-CN"/>
              </w:rPr>
              <w:t>（鄂州市监〔</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27号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25</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市市场监管局关于印发《关于以更大力度推进市场主体稳存量扩增量提质量工作的实施意见》的通知</w:t>
            </w:r>
            <w:r>
              <w:rPr>
                <w:rFonts w:hint="eastAsia" w:ascii="仿宋" w:hAnsi="仿宋" w:eastAsia="仿宋" w:cs="仿宋"/>
                <w:color w:val="000000"/>
                <w:kern w:val="0"/>
                <w:sz w:val="21"/>
                <w:szCs w:val="21"/>
                <w:lang w:eastAsia="zh-CN"/>
              </w:rPr>
              <w:t>（鄂州市监发〔</w:t>
            </w:r>
            <w:r>
              <w:rPr>
                <w:rFonts w:hint="eastAsia" w:ascii="仿宋" w:hAnsi="仿宋" w:eastAsia="仿宋" w:cs="仿宋"/>
                <w:color w:val="000000"/>
                <w:kern w:val="0"/>
                <w:sz w:val="21"/>
                <w:szCs w:val="21"/>
                <w:lang w:val="en-US" w:eastAsia="zh-CN"/>
              </w:rPr>
              <w:t>2022</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市市场监督管理局关于持续严厉打击商标恶意注册行为的通知（鄂州市监〔2022〕29号）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27</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市市场监管局关于印发《关于加强商业秘密保护工作的实施方案》的通知（鄂州市监〔2022〕</w:t>
            </w:r>
            <w:r>
              <w:rPr>
                <w:rFonts w:hint="eastAsia" w:ascii="仿宋" w:hAnsi="仿宋" w:eastAsia="仿宋" w:cs="仿宋"/>
                <w:color w:val="000000"/>
                <w:kern w:val="0"/>
                <w:sz w:val="21"/>
                <w:szCs w:val="21"/>
                <w:lang w:val="en-US" w:eastAsia="zh-CN"/>
              </w:rPr>
              <w:t>31</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28</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市市场监管局关于开展打击整治养老诈骗专项行动的通知（鄂州市监函〔2022〕40号）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29</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市市场监管局关于印发《全市特种设备超期未检专项整治行动方案》的通知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30</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市市场监督管理局关于印发《2022年特种设备“安全生产月”活动方案》的通知（鄂州市监〔2022〕</w:t>
            </w:r>
            <w:r>
              <w:rPr>
                <w:rFonts w:hint="eastAsia" w:ascii="仿宋" w:hAnsi="仿宋" w:eastAsia="仿宋" w:cs="仿宋"/>
                <w:color w:val="000000"/>
                <w:kern w:val="0"/>
                <w:sz w:val="21"/>
                <w:szCs w:val="21"/>
                <w:lang w:val="en-US" w:eastAsia="zh-CN"/>
              </w:rPr>
              <w:t>36</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31</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市市场监督管理局关于持续严厉打击商标恶意注册行为的通知（鄂州市监〔2022〕29号）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32</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市市场监管局关于印发《关于加强商业秘密保护工作的实施方案》的通知（鄂州市监〔2022〕</w:t>
            </w:r>
            <w:r>
              <w:rPr>
                <w:rFonts w:hint="eastAsia" w:ascii="仿宋" w:hAnsi="仿宋" w:eastAsia="仿宋" w:cs="仿宋"/>
                <w:color w:val="000000"/>
                <w:kern w:val="0"/>
                <w:sz w:val="21"/>
                <w:szCs w:val="21"/>
                <w:lang w:val="en-US" w:eastAsia="zh-CN"/>
              </w:rPr>
              <w:t>31</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33</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关于印发《鄂州市建设工程联合验收暂行规定》的通知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34</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关于印发《鄂州市房屋建筑和市政基础设施低风险工程施工图免审工作方案》的通知</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tcPr>
          <w:p>
            <w:pPr>
              <w:widowControl/>
              <w:spacing w:line="300" w:lineRule="exact"/>
              <w:jc w:val="center"/>
              <w:rPr>
                <w:rFonts w:hint="eastAsia" w:ascii="仿宋" w:hAnsi="仿宋" w:eastAsia="仿宋" w:cs="仿宋"/>
                <w:color w:val="000000"/>
                <w:kern w:val="0"/>
                <w:sz w:val="21"/>
                <w:szCs w:val="21"/>
              </w:rPr>
            </w:pPr>
          </w:p>
        </w:tc>
        <w:tc>
          <w:tcPr>
            <w:tcW w:w="720" w:type="dxa"/>
            <w:noWrap/>
          </w:tcPr>
          <w:p>
            <w:pPr>
              <w:widowControl/>
              <w:spacing w:line="300" w:lineRule="exact"/>
              <w:jc w:val="center"/>
              <w:rPr>
                <w:rFonts w:hint="eastAsia" w:ascii="仿宋" w:hAnsi="仿宋" w:eastAsia="仿宋" w:cs="仿宋"/>
                <w:color w:val="000000"/>
                <w:kern w:val="0"/>
                <w:sz w:val="21"/>
                <w:szCs w:val="21"/>
              </w:rPr>
            </w:pPr>
          </w:p>
        </w:tc>
        <w:tc>
          <w:tcPr>
            <w:tcW w:w="3768" w:type="dxa"/>
            <w:gridSpan w:val="2"/>
            <w:noWrap/>
          </w:tcPr>
          <w:p>
            <w:pPr>
              <w:widowControl/>
              <w:spacing w:line="300" w:lineRule="exact"/>
              <w:jc w:val="center"/>
              <w:rPr>
                <w:rFonts w:hint="eastAsia" w:ascii="仿宋" w:hAnsi="仿宋" w:eastAsia="仿宋" w:cs="仿宋"/>
                <w:color w:val="000000"/>
                <w:kern w:val="0"/>
                <w:sz w:val="21"/>
                <w:szCs w:val="21"/>
              </w:rPr>
            </w:pPr>
          </w:p>
        </w:tc>
        <w:tc>
          <w:tcPr>
            <w:tcW w:w="3267" w:type="dxa"/>
            <w:noWrap/>
          </w:tcPr>
          <w:p>
            <w:pPr>
              <w:widowControl/>
              <w:spacing w:line="300" w:lineRule="exac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35</w:t>
            </w:r>
          </w:p>
        </w:tc>
        <w:tc>
          <w:tcPr>
            <w:tcW w:w="3000" w:type="dxa"/>
            <w:noWrap/>
            <w:vAlign w:val="top"/>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关于</w:t>
            </w:r>
            <w:r>
              <w:rPr>
                <w:rFonts w:hint="eastAsia" w:ascii="仿宋_GB2312" w:hAnsi="仿宋_GB2312" w:eastAsia="仿宋_GB2312" w:cs="仿宋_GB2312"/>
                <w:b w:val="0"/>
                <w:bCs w:val="0"/>
                <w:sz w:val="24"/>
                <w:szCs w:val="24"/>
                <w:lang w:val="en-US" w:eastAsia="zh-CN"/>
              </w:rPr>
              <w:t xml:space="preserve">2021年鄂州市中心城区住宅小区物业服务质量考评结果的通报  </w:t>
            </w:r>
          </w:p>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outlineLvl w:val="9"/>
              <w:rPr>
                <w:rFonts w:hint="eastAsia" w:ascii="仿宋" w:hAnsi="仿宋" w:eastAsia="仿宋" w:cs="仿宋"/>
                <w:color w:val="000000"/>
                <w:kern w:val="0"/>
                <w:sz w:val="21"/>
                <w:szCs w:val="21"/>
              </w:rPr>
            </w:pPr>
            <w:r>
              <w:rPr>
                <w:rFonts w:hint="eastAsia" w:ascii="仿宋_GB2312" w:hAnsi="仿宋_GB2312" w:eastAsia="仿宋_GB2312" w:cs="仿宋_GB2312"/>
                <w:color w:val="000000"/>
                <w:sz w:val="24"/>
                <w:szCs w:val="24"/>
                <w:shd w:val="clear" w:color="auto" w:fill="auto"/>
              </w:rPr>
              <w:t>鄂州建设文〔20</w:t>
            </w:r>
            <w:r>
              <w:rPr>
                <w:rFonts w:hint="eastAsia" w:ascii="仿宋_GB2312" w:hAnsi="仿宋_GB2312" w:eastAsia="仿宋_GB2312" w:cs="仿宋_GB2312"/>
                <w:color w:val="000000"/>
                <w:sz w:val="24"/>
                <w:szCs w:val="24"/>
                <w:shd w:val="clear" w:color="auto" w:fill="auto"/>
                <w:lang w:val="en-US" w:eastAsia="zh-CN"/>
              </w:rPr>
              <w:t>22</w:t>
            </w:r>
            <w:r>
              <w:rPr>
                <w:rFonts w:hint="eastAsia" w:ascii="仿宋_GB2312" w:hAnsi="仿宋_GB2312" w:eastAsia="仿宋_GB2312" w:cs="仿宋_GB2312"/>
                <w:color w:val="000000"/>
                <w:sz w:val="24"/>
                <w:szCs w:val="24"/>
                <w:shd w:val="clear" w:color="auto" w:fill="auto"/>
              </w:rPr>
              <w:t>〕</w:t>
            </w:r>
            <w:r>
              <w:rPr>
                <w:rFonts w:hint="eastAsia" w:ascii="仿宋_GB2312" w:hAnsi="仿宋_GB2312" w:eastAsia="仿宋_GB2312" w:cs="仿宋_GB2312"/>
                <w:color w:val="000000"/>
                <w:sz w:val="24"/>
                <w:szCs w:val="24"/>
                <w:shd w:val="clear" w:color="auto" w:fill="auto"/>
                <w:lang w:val="en-US" w:eastAsia="zh-CN"/>
              </w:rPr>
              <w:t>18</w:t>
            </w:r>
            <w:r>
              <w:rPr>
                <w:rFonts w:hint="eastAsia" w:ascii="仿宋_GB2312" w:hAnsi="仿宋_GB2312" w:eastAsia="仿宋_GB2312" w:cs="仿宋_GB2312"/>
                <w:color w:val="000000"/>
                <w:sz w:val="24"/>
                <w:szCs w:val="24"/>
                <w:shd w:val="clear" w:color="auto" w:fill="auto"/>
              </w:rPr>
              <w:t xml:space="preserve">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36</w:t>
            </w:r>
          </w:p>
        </w:tc>
        <w:tc>
          <w:tcPr>
            <w:tcW w:w="3000" w:type="dxa"/>
            <w:noWrap/>
            <w:vAlign w:val="top"/>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outlineLvl w:val="9"/>
              <w:rPr>
                <w:rFonts w:hint="eastAsia" w:ascii="仿宋" w:hAnsi="仿宋" w:eastAsia="仿宋" w:cs="仿宋"/>
                <w:color w:val="000000"/>
                <w:kern w:val="0"/>
                <w:sz w:val="21"/>
                <w:szCs w:val="21"/>
              </w:rPr>
            </w:pPr>
            <w:r>
              <w:rPr>
                <w:rFonts w:hint="eastAsia" w:ascii="仿宋_GB2312" w:hAnsi="仿宋_GB2312" w:eastAsia="仿宋_GB2312" w:cs="仿宋_GB2312"/>
                <w:sz w:val="24"/>
                <w:szCs w:val="24"/>
                <w:lang w:val="en-US" w:eastAsia="zh-CN"/>
              </w:rPr>
              <w:t>关于印发《鄂州市房屋建筑和市政基础设施低风险工程施工图免审工作方案》的通知</w:t>
            </w:r>
            <w:r>
              <w:rPr>
                <w:rFonts w:hint="eastAsia" w:ascii="仿宋_GB2312" w:hAnsi="仿宋_GB2312" w:eastAsia="仿宋_GB2312" w:cs="仿宋_GB2312"/>
                <w:color w:val="000000"/>
                <w:sz w:val="24"/>
                <w:szCs w:val="24"/>
                <w:shd w:val="clear" w:color="auto" w:fill="auto"/>
                <w:lang w:eastAsia="zh-CN"/>
              </w:rPr>
              <w:t>（</w:t>
            </w:r>
            <w:r>
              <w:rPr>
                <w:rFonts w:hint="eastAsia" w:ascii="仿宋_GB2312" w:hAnsi="仿宋_GB2312" w:eastAsia="仿宋_GB2312" w:cs="仿宋_GB2312"/>
                <w:color w:val="000000"/>
                <w:sz w:val="24"/>
                <w:szCs w:val="24"/>
                <w:shd w:val="clear" w:color="auto" w:fill="auto"/>
              </w:rPr>
              <w:t>鄂州建设文〔20</w:t>
            </w:r>
            <w:r>
              <w:rPr>
                <w:rFonts w:hint="eastAsia" w:ascii="仿宋_GB2312" w:hAnsi="仿宋_GB2312" w:eastAsia="仿宋_GB2312" w:cs="仿宋_GB2312"/>
                <w:color w:val="000000"/>
                <w:sz w:val="24"/>
                <w:szCs w:val="24"/>
                <w:shd w:val="clear" w:color="auto" w:fill="auto"/>
                <w:lang w:val="en-US" w:eastAsia="zh-CN"/>
              </w:rPr>
              <w:t>22</w:t>
            </w:r>
            <w:r>
              <w:rPr>
                <w:rFonts w:hint="eastAsia" w:ascii="仿宋_GB2312" w:hAnsi="仿宋_GB2312" w:eastAsia="仿宋_GB2312" w:cs="仿宋_GB2312"/>
                <w:color w:val="000000"/>
                <w:sz w:val="24"/>
                <w:szCs w:val="24"/>
                <w:shd w:val="clear" w:color="auto" w:fill="auto"/>
              </w:rPr>
              <w:t>〕</w:t>
            </w:r>
            <w:r>
              <w:rPr>
                <w:rFonts w:hint="eastAsia" w:ascii="仿宋_GB2312" w:hAnsi="仿宋_GB2312" w:eastAsia="仿宋_GB2312" w:cs="仿宋_GB2312"/>
                <w:color w:val="000000"/>
                <w:sz w:val="24"/>
                <w:szCs w:val="24"/>
                <w:shd w:val="clear" w:color="auto" w:fill="auto"/>
                <w:lang w:val="en-US" w:eastAsia="zh-CN"/>
              </w:rPr>
              <w:t>19</w:t>
            </w:r>
            <w:r>
              <w:rPr>
                <w:rFonts w:hint="eastAsia" w:ascii="仿宋_GB2312" w:hAnsi="仿宋_GB2312" w:eastAsia="仿宋_GB2312" w:cs="仿宋_GB2312"/>
                <w:color w:val="000000"/>
                <w:sz w:val="24"/>
                <w:szCs w:val="24"/>
                <w:shd w:val="clear" w:color="auto" w:fill="auto"/>
              </w:rPr>
              <w:t xml:space="preserve">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37</w:t>
            </w:r>
          </w:p>
        </w:tc>
        <w:tc>
          <w:tcPr>
            <w:tcW w:w="3000" w:type="dxa"/>
            <w:noWrap/>
            <w:vAlign w:val="top"/>
          </w:tcPr>
          <w:p>
            <w:pPr>
              <w:keepNext w:val="0"/>
              <w:keepLines w:val="0"/>
              <w:pageBreakBefore w:val="0"/>
              <w:widowControl w:val="0"/>
              <w:kinsoku/>
              <w:wordWrap/>
              <w:overflowPunct w:val="0"/>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关于落实“扩权强县”要求推进房屋建筑和市政基础设施工程分级</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的通知</w:t>
            </w:r>
          </w:p>
          <w:p>
            <w:pPr>
              <w:keepNext w:val="0"/>
              <w:keepLines w:val="0"/>
              <w:pageBreakBefore w:val="0"/>
              <w:widowControl/>
              <w:kinsoku/>
              <w:wordWrap/>
              <w:topLinePunct w:val="0"/>
              <w:autoSpaceDE/>
              <w:autoSpaceDN/>
              <w:bidi w:val="0"/>
              <w:adjustRightInd/>
              <w:snapToGrid/>
              <w:spacing w:line="440" w:lineRule="exact"/>
              <w:jc w:val="both"/>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sz w:val="24"/>
                <w:szCs w:val="24"/>
                <w:shd w:val="clear" w:color="auto" w:fill="auto"/>
              </w:rPr>
              <w:t>鄂州建设文〔20</w:t>
            </w:r>
            <w:r>
              <w:rPr>
                <w:rFonts w:hint="eastAsia" w:ascii="仿宋_GB2312" w:hAnsi="仿宋_GB2312" w:eastAsia="仿宋_GB2312" w:cs="仿宋_GB2312"/>
                <w:color w:val="000000"/>
                <w:sz w:val="24"/>
                <w:szCs w:val="24"/>
                <w:shd w:val="clear" w:color="auto" w:fill="auto"/>
                <w:lang w:val="en-US" w:eastAsia="zh-CN"/>
              </w:rPr>
              <w:t>22</w:t>
            </w:r>
            <w:r>
              <w:rPr>
                <w:rFonts w:hint="eastAsia" w:ascii="仿宋_GB2312" w:hAnsi="仿宋_GB2312" w:eastAsia="仿宋_GB2312" w:cs="仿宋_GB2312"/>
                <w:color w:val="000000"/>
                <w:sz w:val="24"/>
                <w:szCs w:val="24"/>
                <w:shd w:val="clear" w:color="auto" w:fill="auto"/>
              </w:rPr>
              <w:t>〕</w:t>
            </w:r>
            <w:r>
              <w:rPr>
                <w:rFonts w:hint="eastAsia" w:ascii="仿宋_GB2312" w:hAnsi="仿宋_GB2312" w:eastAsia="仿宋_GB2312" w:cs="仿宋_GB2312"/>
                <w:color w:val="000000"/>
                <w:sz w:val="24"/>
                <w:szCs w:val="24"/>
                <w:shd w:val="clear" w:color="auto" w:fill="auto"/>
                <w:lang w:val="en-US" w:eastAsia="zh-CN"/>
              </w:rPr>
              <w:t>22</w:t>
            </w:r>
            <w:r>
              <w:rPr>
                <w:rFonts w:hint="eastAsia" w:ascii="仿宋_GB2312" w:hAnsi="仿宋_GB2312" w:eastAsia="仿宋_GB2312" w:cs="仿宋_GB2312"/>
                <w:color w:val="000000"/>
                <w:sz w:val="24"/>
                <w:szCs w:val="24"/>
                <w:shd w:val="clear" w:color="auto" w:fill="auto"/>
              </w:rPr>
              <w:t xml:space="preserve">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38</w:t>
            </w:r>
          </w:p>
        </w:tc>
        <w:tc>
          <w:tcPr>
            <w:tcW w:w="3000" w:type="dxa"/>
            <w:noWrap/>
            <w:vAlign w:val="top"/>
          </w:tcPr>
          <w:p>
            <w:pPr>
              <w:keepNext w:val="0"/>
              <w:keepLines w:val="0"/>
              <w:pageBreakBefore w:val="0"/>
              <w:widowControl w:val="0"/>
              <w:kinsoku/>
              <w:wordWrap/>
              <w:overflowPunct w:val="0"/>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sz w:val="24"/>
                <w:szCs w:val="24"/>
              </w:rPr>
              <w:t>关于加强限额以下小型工程建设管理工作的</w:t>
            </w:r>
            <w:r>
              <w:rPr>
                <w:rFonts w:hint="eastAsia" w:ascii="仿宋_GB2312" w:hAnsi="仿宋_GB2312" w:eastAsia="仿宋_GB2312" w:cs="仿宋_GB2312"/>
                <w:color w:val="000000"/>
                <w:spacing w:val="0"/>
                <w:sz w:val="24"/>
                <w:szCs w:val="24"/>
                <w:lang w:val="en-US" w:eastAsia="zh-CN"/>
              </w:rPr>
              <w:t>通知</w:t>
            </w:r>
          </w:p>
          <w:p>
            <w:pPr>
              <w:keepNext w:val="0"/>
              <w:keepLines w:val="0"/>
              <w:pageBreakBefore w:val="0"/>
              <w:widowControl/>
              <w:kinsoku/>
              <w:wordWrap/>
              <w:topLinePunct w:val="0"/>
              <w:autoSpaceDE/>
              <w:autoSpaceDN/>
              <w:bidi w:val="0"/>
              <w:adjustRightInd/>
              <w:snapToGrid/>
              <w:spacing w:line="440" w:lineRule="exact"/>
              <w:jc w:val="both"/>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sz w:val="24"/>
                <w:szCs w:val="24"/>
                <w:shd w:val="clear" w:color="auto" w:fill="auto"/>
              </w:rPr>
              <w:t>鄂州建设文〔20</w:t>
            </w:r>
            <w:r>
              <w:rPr>
                <w:rFonts w:hint="eastAsia" w:ascii="仿宋_GB2312" w:hAnsi="仿宋_GB2312" w:eastAsia="仿宋_GB2312" w:cs="仿宋_GB2312"/>
                <w:color w:val="000000"/>
                <w:sz w:val="24"/>
                <w:szCs w:val="24"/>
                <w:shd w:val="clear" w:color="auto" w:fill="auto"/>
                <w:lang w:val="en-US" w:eastAsia="zh-CN"/>
              </w:rPr>
              <w:t>22</w:t>
            </w:r>
            <w:r>
              <w:rPr>
                <w:rFonts w:hint="eastAsia" w:ascii="仿宋_GB2312" w:hAnsi="仿宋_GB2312" w:eastAsia="仿宋_GB2312" w:cs="仿宋_GB2312"/>
                <w:color w:val="000000"/>
                <w:sz w:val="24"/>
                <w:szCs w:val="24"/>
                <w:shd w:val="clear" w:color="auto" w:fill="auto"/>
              </w:rPr>
              <w:t>〕</w:t>
            </w:r>
            <w:r>
              <w:rPr>
                <w:rFonts w:hint="eastAsia" w:ascii="仿宋_GB2312" w:hAnsi="仿宋_GB2312" w:eastAsia="仿宋_GB2312" w:cs="仿宋_GB2312"/>
                <w:color w:val="000000"/>
                <w:sz w:val="24"/>
                <w:szCs w:val="24"/>
                <w:shd w:val="clear" w:color="auto" w:fill="auto"/>
                <w:lang w:val="en-US" w:eastAsia="zh-CN"/>
              </w:rPr>
              <w:t>31</w:t>
            </w:r>
            <w:r>
              <w:rPr>
                <w:rFonts w:hint="eastAsia" w:ascii="仿宋_GB2312" w:hAnsi="仿宋_GB2312" w:eastAsia="仿宋_GB2312" w:cs="仿宋_GB2312"/>
                <w:color w:val="000000"/>
                <w:sz w:val="24"/>
                <w:szCs w:val="24"/>
                <w:shd w:val="clear" w:color="auto" w:fill="auto"/>
              </w:rPr>
              <w:t xml:space="preserve">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是</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val="en-US" w:eastAsia="zh-CN"/>
              </w:rPr>
              <w:t>违反了公平竞争审查制度中“市场准入和退出标准”，</w:t>
            </w:r>
            <w:r>
              <w:rPr>
                <w:rFonts w:hint="eastAsia" w:ascii="仿宋_GB2312" w:hAnsi="仿宋_GB2312" w:eastAsia="仿宋_GB2312" w:cs="仿宋_GB2312"/>
                <w:color w:val="000000"/>
                <w:kern w:val="0"/>
                <w:sz w:val="24"/>
                <w:szCs w:val="24"/>
                <w:lang w:eastAsia="zh-CN"/>
              </w:rPr>
              <w:t>在</w:t>
            </w:r>
            <w:r>
              <w:rPr>
                <w:rFonts w:hint="eastAsia" w:ascii="仿宋_GB2312" w:hAnsi="仿宋_GB2312" w:eastAsia="仿宋_GB2312" w:cs="仿宋_GB2312"/>
                <w:color w:val="000000"/>
                <w:kern w:val="0"/>
                <w:sz w:val="24"/>
                <w:szCs w:val="24"/>
                <w:lang w:val="en-US" w:eastAsia="zh-CN"/>
              </w:rPr>
              <w:t>法律</w:t>
            </w:r>
            <w:r>
              <w:rPr>
                <w:rFonts w:hint="eastAsia" w:ascii="仿宋_GB2312" w:hAnsi="仿宋_GB2312" w:eastAsia="仿宋_GB2312" w:cs="仿宋_GB2312"/>
                <w:color w:val="000000"/>
                <w:kern w:val="0"/>
                <w:sz w:val="24"/>
                <w:szCs w:val="24"/>
                <w:lang w:eastAsia="zh-CN"/>
              </w:rPr>
              <w:t>法规没有依据的情况下增加了建设单位的义务</w:t>
            </w: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是</w:t>
            </w: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建设单位应到工程属地区级住建部门办理开工建设信息录入（报备）程序</w:t>
            </w: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建设单位应依法办理规划、消防设计审查等审批手续，主动告知工程所在地区级建设行政主管部门开工建设信息，配合建设行政主管部门开展开工建设信息录入工作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39</w:t>
            </w:r>
          </w:p>
        </w:tc>
        <w:tc>
          <w:tcPr>
            <w:tcW w:w="3000" w:type="dxa"/>
            <w:noWrap/>
            <w:vAlign w:val="top"/>
          </w:tcPr>
          <w:p>
            <w:pPr>
              <w:pStyle w:val="2"/>
              <w:keepNext w:val="0"/>
              <w:keepLines w:val="0"/>
              <w:pageBreakBefore w:val="0"/>
              <w:widowControl w:val="0"/>
              <w:kinsoku/>
              <w:wordWrap/>
              <w:overflowPunct w:val="0"/>
              <w:topLinePunct w:val="0"/>
              <w:autoSpaceDE/>
              <w:autoSpaceDN/>
              <w:bidi w:val="0"/>
              <w:adjustRightInd/>
              <w:snapToGrid/>
              <w:spacing w:line="44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shd w:val="clear" w:color="auto" w:fill="auto"/>
                <w:lang w:val="en-US" w:eastAsia="zh-CN" w:bidi="ar-SA"/>
              </w:rPr>
            </w:pPr>
            <w:r>
              <w:rPr>
                <w:rFonts w:hint="eastAsia" w:ascii="仿宋_GB2312" w:hAnsi="仿宋_GB2312" w:eastAsia="仿宋_GB2312" w:cs="仿宋_GB2312"/>
                <w:color w:val="000000"/>
                <w:kern w:val="2"/>
                <w:sz w:val="24"/>
                <w:szCs w:val="24"/>
                <w:shd w:val="clear" w:color="auto" w:fill="auto"/>
                <w:lang w:val="en-US" w:eastAsia="zh-CN" w:bidi="ar-SA"/>
              </w:rPr>
              <w:t>关于印发《鄂州市房屋征收房票安置操作程序》的通知</w:t>
            </w:r>
          </w:p>
          <w:p>
            <w:pPr>
              <w:pStyle w:val="2"/>
              <w:keepNext w:val="0"/>
              <w:keepLines w:val="0"/>
              <w:pageBreakBefore w:val="0"/>
              <w:kinsoku/>
              <w:wordWrap/>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2"/>
                <w:sz w:val="24"/>
                <w:szCs w:val="24"/>
                <w:shd w:val="clear" w:color="auto" w:fill="auto"/>
                <w:lang w:val="en-US" w:eastAsia="zh-CN" w:bidi="ar-SA"/>
              </w:rPr>
              <w:t xml:space="preserve">鄂州建设文〔2022〕42号）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40</w:t>
            </w:r>
          </w:p>
        </w:tc>
        <w:tc>
          <w:tcPr>
            <w:tcW w:w="3000" w:type="dxa"/>
            <w:noWrap/>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2"/>
                <w:sz w:val="24"/>
                <w:szCs w:val="24"/>
                <w:shd w:val="clear" w:color="auto" w:fill="auto"/>
                <w:lang w:val="en-US" w:eastAsia="zh-CN" w:bidi="ar-SA"/>
              </w:rPr>
              <w:t xml:space="preserve">关于进一步加强我市公共租赁住房实物配租和住房租赁补贴管理的通知（鄂州建设文〔2022〕52号）   </w:t>
            </w:r>
          </w:p>
        </w:tc>
        <w:tc>
          <w:tcPr>
            <w:tcW w:w="509" w:type="dxa"/>
            <w:noWrap/>
            <w:vAlign w:val="center"/>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r>
              <w:rPr>
                <w:rFonts w:hint="eastAsia" w:ascii="仿宋_GB2312" w:hAnsi="仿宋_GB2312" w:eastAsia="仿宋_GB2312" w:cs="仿宋_GB2312"/>
                <w:color w:val="000000"/>
                <w:kern w:val="0"/>
                <w:sz w:val="24"/>
                <w:szCs w:val="24"/>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41</w:t>
            </w:r>
          </w:p>
        </w:tc>
        <w:tc>
          <w:tcPr>
            <w:tcW w:w="3000" w:type="dxa"/>
            <w:noWrap/>
            <w:vAlign w:val="top"/>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lang w:val="en-US" w:eastAsia="zh-CN"/>
              </w:rPr>
              <w:t>关于做好自然资源要素保障服务奋力夺取一季度“开门红”助推全年“再续精彩”若干措施的通知</w:t>
            </w:r>
          </w:p>
        </w:tc>
        <w:tc>
          <w:tcPr>
            <w:tcW w:w="509" w:type="dxa"/>
            <w:noWrap/>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42</w:t>
            </w:r>
          </w:p>
        </w:tc>
        <w:tc>
          <w:tcPr>
            <w:tcW w:w="3000" w:type="dxa"/>
            <w:noWrap/>
            <w:vAlign w:val="top"/>
          </w:tcPr>
          <w:p>
            <w:pPr>
              <w:keepNext w:val="0"/>
              <w:keepLines w:val="0"/>
              <w:widowControl/>
              <w:suppressLineNumbers w:val="0"/>
              <w:spacing w:before="0" w:beforeAutospacing="0" w:after="0" w:afterAutospacing="0" w:line="300" w:lineRule="exact"/>
              <w:ind w:left="0" w:leftChars="0" w:right="0" w:rightChars="0"/>
              <w:jc w:val="both"/>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rPr>
              <w:t>鄂州市新型产业用地（M0）发展实施意见</w:t>
            </w:r>
          </w:p>
        </w:tc>
        <w:tc>
          <w:tcPr>
            <w:tcW w:w="509" w:type="dxa"/>
            <w:noWrap/>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是</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违反了公平竞争审查制度中“市场准入和退出”标准</w:t>
            </w: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已修改没有出台</w:t>
            </w: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新型产业用地（M0）</w:t>
            </w:r>
            <w:r>
              <w:rPr>
                <w:rFonts w:hint="eastAsia" w:ascii="仿宋" w:hAnsi="仿宋" w:eastAsia="仿宋" w:cs="仿宋"/>
                <w:color w:val="000000"/>
                <w:kern w:val="0"/>
                <w:sz w:val="21"/>
                <w:szCs w:val="21"/>
                <w:lang w:val="en-US" w:eastAsia="zh-CN"/>
              </w:rPr>
              <w:t>开发主体原则上为在鄂州注册的法人单位。</w:t>
            </w: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删除“鄂州注册的法人单位”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43</w:t>
            </w:r>
          </w:p>
        </w:tc>
        <w:tc>
          <w:tcPr>
            <w:tcW w:w="3000" w:type="dxa"/>
            <w:noWrap/>
            <w:vAlign w:val="top"/>
          </w:tcPr>
          <w:p>
            <w:pPr>
              <w:keepNext w:val="0"/>
              <w:keepLines w:val="0"/>
              <w:widowControl/>
              <w:suppressLineNumbers w:val="0"/>
              <w:spacing w:before="0" w:beforeAutospacing="0" w:after="0" w:afterAutospacing="0" w:line="300" w:lineRule="exact"/>
              <w:ind w:left="0" w:leftChars="0" w:right="0" w:rightChars="0"/>
              <w:jc w:val="both"/>
              <w:rPr>
                <w:rFonts w:hint="eastAsia" w:ascii="仿宋" w:hAnsi="仿宋" w:eastAsia="仿宋_GB2312" w:cs="仿宋"/>
                <w:color w:val="000000"/>
                <w:kern w:val="0"/>
                <w:sz w:val="21"/>
                <w:szCs w:val="21"/>
                <w:lang w:eastAsia="zh-CN"/>
              </w:rPr>
            </w:pPr>
            <w:r>
              <w:rPr>
                <w:rFonts w:hint="eastAsia" w:ascii="仿宋" w:hAnsi="仿宋" w:eastAsia="仿宋" w:cs="仿宋"/>
                <w:kern w:val="0"/>
                <w:sz w:val="21"/>
                <w:szCs w:val="21"/>
                <w:lang w:val="en-US" w:eastAsia="zh-CN"/>
              </w:rPr>
              <w:t>《鄂州花湖机场航行服务程序净空保护区域一体化图使用管理办法（修改·送审稿）》</w:t>
            </w:r>
          </w:p>
        </w:tc>
        <w:tc>
          <w:tcPr>
            <w:tcW w:w="509" w:type="dxa"/>
            <w:noWrap/>
            <w:vAlign w:val="center"/>
          </w:tcPr>
          <w:p>
            <w:pPr>
              <w:keepNext w:val="0"/>
              <w:keepLines w:val="0"/>
              <w:widowControl/>
              <w:suppressLineNumbers w:val="0"/>
              <w:spacing w:before="0" w:beforeAutospacing="0" w:after="0" w:afterAutospacing="0" w:line="300" w:lineRule="exact"/>
              <w:ind w:left="0" w:leftChars="0" w:right="0" w:rightChars="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44</w:t>
            </w:r>
          </w:p>
        </w:tc>
        <w:tc>
          <w:tcPr>
            <w:tcW w:w="3000" w:type="dxa"/>
            <w:noWrap/>
            <w:vAlign w:val="center"/>
          </w:tcPr>
          <w:p>
            <w:pPr>
              <w:widowControl/>
              <w:spacing w:line="300" w:lineRule="exact"/>
              <w:jc w:val="center"/>
              <w:rPr>
                <w:rFonts w:hint="eastAsia" w:ascii="仿宋" w:hAnsi="仿宋" w:eastAsia="仿宋_GB2312" w:cs="仿宋"/>
                <w:color w:val="000000"/>
                <w:kern w:val="0"/>
                <w:sz w:val="21"/>
                <w:szCs w:val="21"/>
                <w:lang w:eastAsia="zh-CN"/>
              </w:rPr>
            </w:pPr>
            <w:r>
              <w:rPr>
                <w:rFonts w:hint="eastAsia" w:ascii="仿宋" w:hAnsi="仿宋" w:eastAsia="仿宋" w:cs="仿宋"/>
                <w:kern w:val="0"/>
                <w:sz w:val="21"/>
                <w:szCs w:val="21"/>
                <w:lang w:eastAsia="zh-CN"/>
              </w:rPr>
              <w:t>鄂州市深入打好污染防治攻坚战行动方案</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45</w:t>
            </w:r>
          </w:p>
        </w:tc>
        <w:tc>
          <w:tcPr>
            <w:tcW w:w="3000" w:type="dxa"/>
            <w:noWrap/>
            <w:vAlign w:val="center"/>
          </w:tcPr>
          <w:p>
            <w:pPr>
              <w:widowControl/>
              <w:spacing w:line="300" w:lineRule="exact"/>
              <w:jc w:val="center"/>
              <w:rPr>
                <w:rFonts w:hint="eastAsia" w:ascii="仿宋" w:hAnsi="仿宋" w:eastAsia="仿宋_GB2312" w:cs="仿宋"/>
                <w:color w:val="000000"/>
                <w:kern w:val="0"/>
                <w:sz w:val="21"/>
                <w:szCs w:val="21"/>
                <w:lang w:eastAsia="zh-CN"/>
              </w:rPr>
            </w:pPr>
            <w:r>
              <w:rPr>
                <w:rFonts w:hint="eastAsia" w:ascii="仿宋" w:hAnsi="仿宋" w:eastAsia="仿宋" w:cs="仿宋"/>
                <w:kern w:val="0"/>
                <w:sz w:val="21"/>
                <w:szCs w:val="21"/>
                <w:lang w:eastAsia="zh-CN"/>
              </w:rPr>
              <w:t>鄂州市生态环境违法行为举报奖励办法</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ign w:val="center"/>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46</w:t>
            </w:r>
          </w:p>
        </w:tc>
        <w:tc>
          <w:tcPr>
            <w:tcW w:w="3000" w:type="dxa"/>
            <w:noWrap/>
            <w:vAlign w:val="top"/>
          </w:tcPr>
          <w:p>
            <w:pPr>
              <w:widowControl/>
              <w:spacing w:line="300" w:lineRule="exact"/>
              <w:jc w:val="center"/>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lang w:eastAsia="zh-CN"/>
              </w:rPr>
              <w:t>鄂州市农村生活污水处理设施运行维护管理办法</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47</w:t>
            </w:r>
          </w:p>
        </w:tc>
        <w:tc>
          <w:tcPr>
            <w:tcW w:w="3000" w:type="dxa"/>
            <w:noWrap/>
            <w:vAlign w:val="top"/>
          </w:tcPr>
          <w:p>
            <w:pPr>
              <w:widowControl/>
              <w:spacing w:line="300" w:lineRule="exact"/>
              <w:jc w:val="both"/>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lang w:eastAsia="zh-CN"/>
              </w:rPr>
              <w:t>华容区人民政府关于印发华容区</w:t>
            </w:r>
            <w:r>
              <w:rPr>
                <w:rFonts w:hint="eastAsia" w:ascii="仿宋" w:hAnsi="仿宋" w:eastAsia="仿宋" w:cs="仿宋"/>
                <w:color w:val="000000"/>
                <w:kern w:val="0"/>
                <w:sz w:val="21"/>
                <w:szCs w:val="21"/>
                <w:lang w:val="en-US" w:eastAsia="zh-CN"/>
              </w:rPr>
              <w:t>进一步优化营商环境培育壮大市场主体实施意见的通知</w:t>
            </w:r>
            <w:r>
              <w:rPr>
                <w:rFonts w:hint="eastAsia" w:ascii="仿宋" w:hAnsi="仿宋" w:eastAsia="仿宋" w:cs="仿宋"/>
                <w:color w:val="000000"/>
                <w:kern w:val="0"/>
                <w:sz w:val="21"/>
                <w:szCs w:val="21"/>
                <w:lang w:eastAsia="zh-CN"/>
              </w:rPr>
              <w:t>（华容政办函</w:t>
            </w:r>
            <w:r>
              <w:rPr>
                <w:rFonts w:hint="eastAsia" w:ascii="仿宋" w:hAnsi="仿宋" w:eastAsia="仿宋" w:cs="仿宋"/>
                <w:color w:val="000000"/>
                <w:kern w:val="0"/>
                <w:sz w:val="21"/>
                <w:szCs w:val="21"/>
                <w:lang w:val="en-US" w:eastAsia="zh-CN"/>
              </w:rPr>
              <w:t>[2022]30号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48</w:t>
            </w:r>
          </w:p>
        </w:tc>
        <w:tc>
          <w:tcPr>
            <w:tcW w:w="3000" w:type="dxa"/>
            <w:noWrap/>
            <w:vAlign w:val="top"/>
          </w:tcPr>
          <w:p>
            <w:pPr>
              <w:widowControl/>
              <w:spacing w:line="300" w:lineRule="exact"/>
              <w:jc w:val="both"/>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lang w:eastAsia="zh-CN"/>
              </w:rPr>
              <w:t>华容区人民政府关于印发华容区政府招标（采购）条件专家评审实施办法（试行）的通知（华容政规</w:t>
            </w:r>
            <w:r>
              <w:rPr>
                <w:rFonts w:hint="eastAsia" w:ascii="仿宋" w:hAnsi="仿宋" w:eastAsia="仿宋" w:cs="仿宋"/>
                <w:color w:val="000000"/>
                <w:kern w:val="0"/>
                <w:sz w:val="21"/>
                <w:szCs w:val="21"/>
                <w:lang w:val="en-US" w:eastAsia="zh-CN"/>
              </w:rPr>
              <w:t>[2022]1号</w:t>
            </w:r>
            <w:r>
              <w:rPr>
                <w:rFonts w:hint="eastAsia" w:ascii="仿宋" w:hAnsi="仿宋" w:eastAsia="仿宋" w:cs="仿宋"/>
                <w:color w:val="000000"/>
                <w:kern w:val="0"/>
                <w:sz w:val="21"/>
                <w:szCs w:val="21"/>
                <w:lang w:eastAsia="zh-CN"/>
              </w:rPr>
              <w:t>）</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49</w:t>
            </w:r>
          </w:p>
        </w:tc>
        <w:tc>
          <w:tcPr>
            <w:tcW w:w="3000" w:type="dxa"/>
            <w:noWrap/>
            <w:vAlign w:val="top"/>
          </w:tcPr>
          <w:p>
            <w:pPr>
              <w:widowControl/>
              <w:spacing w:line="300" w:lineRule="exact"/>
              <w:jc w:val="both"/>
              <w:rPr>
                <w:rFonts w:hint="eastAsia" w:ascii="仿宋" w:hAnsi="仿宋" w:eastAsia="仿宋_GB2312" w:cs="仿宋"/>
                <w:color w:val="000000"/>
                <w:kern w:val="0"/>
                <w:sz w:val="21"/>
                <w:szCs w:val="21"/>
                <w:lang w:eastAsia="zh-CN"/>
              </w:rPr>
            </w:pPr>
            <w:r>
              <w:rPr>
                <w:rFonts w:hint="eastAsia" w:ascii="仿宋" w:hAnsi="仿宋" w:eastAsia="仿宋" w:cs="仿宋"/>
                <w:color w:val="000000"/>
                <w:kern w:val="0"/>
                <w:sz w:val="21"/>
                <w:szCs w:val="21"/>
                <w:lang w:eastAsia="zh-CN"/>
              </w:rPr>
              <w:t>华容区助力企业纾困解难促进县域经济高质量发展的办法（试行）</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50</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梁子湖区人民政府关于推进养老服务发展的实施方案</w:t>
            </w:r>
          </w:p>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梁政发[2021]5号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51</w:t>
            </w:r>
          </w:p>
        </w:tc>
        <w:tc>
          <w:tcPr>
            <w:tcW w:w="3000" w:type="dxa"/>
            <w:noWrap/>
            <w:vAlign w:val="top"/>
          </w:tcPr>
          <w:p>
            <w:pPr>
              <w:widowControl/>
              <w:spacing w:line="300" w:lineRule="exact"/>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关于印发《梁子湖区发展改革项目促进资金使用细则》的通知</w:t>
            </w:r>
          </w:p>
          <w:p>
            <w:pPr>
              <w:pStyle w:val="2"/>
              <w:ind w:left="0" w:leftChars="0" w:firstLine="0" w:firstLineChars="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梁深改委发</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52</w:t>
            </w:r>
          </w:p>
        </w:tc>
        <w:tc>
          <w:tcPr>
            <w:tcW w:w="3000" w:type="dxa"/>
            <w:noWrap/>
            <w:vAlign w:val="top"/>
          </w:tcPr>
          <w:p>
            <w:pPr>
              <w:pStyle w:val="2"/>
              <w:ind w:left="0" w:leftChars="0" w:firstLine="0" w:firstLineChars="0"/>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中共梁子湖区委关于印发《梁子湖区发展改革项目促进资金管理办法（试行）》的通知</w:t>
            </w:r>
          </w:p>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梁深改委发</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53</w:t>
            </w:r>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关于印发进</w:t>
            </w:r>
            <w:r>
              <w:rPr>
                <w:rFonts w:hint="eastAsia" w:ascii="仿宋" w:hAnsi="仿宋" w:eastAsia="仿宋" w:cs="仿宋"/>
                <w:color w:val="000000"/>
                <w:kern w:val="0"/>
                <w:sz w:val="21"/>
                <w:szCs w:val="21"/>
                <w:lang w:val="en-US" w:eastAsia="zh-CN"/>
              </w:rPr>
              <w:t>一</w:t>
            </w:r>
            <w:r>
              <w:rPr>
                <w:rFonts w:hint="eastAsia" w:ascii="仿宋" w:hAnsi="仿宋" w:eastAsia="仿宋" w:cs="仿宋"/>
                <w:color w:val="000000"/>
                <w:kern w:val="0"/>
                <w:sz w:val="21"/>
                <w:szCs w:val="21"/>
              </w:rPr>
              <w:t>步促进3岁以下婴幼儿照护服务发展实施方案的通知</w:t>
            </w:r>
          </w:p>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梁政办发</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tcPr>
          <w:p>
            <w:pPr>
              <w:widowControl/>
              <w:spacing w:line="300" w:lineRule="exac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54</w:t>
            </w:r>
            <w:bookmarkStart w:id="0" w:name="_GoBack"/>
            <w:bookmarkEnd w:id="0"/>
          </w:p>
        </w:tc>
        <w:tc>
          <w:tcPr>
            <w:tcW w:w="3000" w:type="dxa"/>
            <w:noWrap/>
            <w:vAlign w:val="top"/>
          </w:tcPr>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关于印发梁子湖区深化拓展新时代文明实践中心建设实施方案的通知</w:t>
            </w:r>
          </w:p>
          <w:p>
            <w:pPr>
              <w:widowControl/>
              <w:spacing w:line="300" w:lineRule="exact"/>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bidi="ar-SA"/>
              </w:rPr>
              <w:t>梁文明委发</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号</w:t>
            </w:r>
          </w:p>
        </w:tc>
        <w:tc>
          <w:tcPr>
            <w:tcW w:w="509" w:type="dxa"/>
            <w:noWrap/>
            <w:vAlign w:val="center"/>
          </w:tcPr>
          <w:p>
            <w:pPr>
              <w:widowControl/>
              <w:spacing w:line="300" w:lineRule="exac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否</w:t>
            </w:r>
          </w:p>
        </w:tc>
        <w:tc>
          <w:tcPr>
            <w:tcW w:w="234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720"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768" w:type="dxa"/>
            <w:gridSpan w:val="2"/>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c>
          <w:tcPr>
            <w:tcW w:w="3267" w:type="dxa"/>
            <w:noWrap/>
            <w:vAlign w:val="top"/>
          </w:tcPr>
          <w:p>
            <w:pPr>
              <w:keepNext w:val="0"/>
              <w:keepLines w:val="0"/>
              <w:pageBreakBefore w:val="0"/>
              <w:widowControl/>
              <w:kinsoku/>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1"/>
                <w:szCs w:val="21"/>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OTZiYTAyN2I3YTIyMjIxY2U2ZWVmNjQwODY2MzkifQ=="/>
  </w:docVars>
  <w:rsids>
    <w:rsidRoot w:val="00000000"/>
    <w:rsid w:val="079F25B8"/>
    <w:rsid w:val="07BF1BEB"/>
    <w:rsid w:val="12890A82"/>
    <w:rsid w:val="31F47EB7"/>
    <w:rsid w:val="402A1FB4"/>
    <w:rsid w:val="619C2EE1"/>
    <w:rsid w:val="6B8A288F"/>
    <w:rsid w:val="6E632320"/>
    <w:rsid w:val="704B6643"/>
    <w:rsid w:val="7119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14">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rPr>
      <w:rFonts w:ascii="Times New Roman" w:hAnsi="Times New Roman" w:eastAsia="宋体" w:cs="Times New Roman"/>
    </w:rPr>
  </w:style>
  <w:style w:type="paragraph" w:styleId="3">
    <w:name w:val="Body Text Indent"/>
    <w:basedOn w:val="1"/>
    <w:next w:val="2"/>
    <w:qFormat/>
    <w:uiPriority w:val="0"/>
    <w:pPr>
      <w:ind w:firstLine="660"/>
    </w:pPr>
    <w:rPr>
      <w:rFonts w:ascii="楷体_GB2312" w:hAnsi="楷体_GB2312"/>
      <w:szCs w:val="24"/>
    </w:rPr>
  </w:style>
  <w:style w:type="paragraph" w:styleId="4">
    <w:name w:val="Body Text"/>
    <w:unhideWhenUsed/>
    <w:qFormat/>
    <w:uiPriority w:val="99"/>
    <w:pPr>
      <w:widowControl w:val="0"/>
      <w:spacing w:before="100" w:beforeAutospacing="1" w:after="120"/>
      <w:jc w:val="both"/>
    </w:pPr>
    <w:rPr>
      <w:rFonts w:ascii="Calibri" w:hAnsi="Calibri" w:eastAsia="宋体" w:cs="Times New Roman"/>
      <w:kern w:val="2"/>
      <w:sz w:val="21"/>
      <w:szCs w:val="21"/>
      <w:lang w:val="en-US" w:eastAsia="zh-CN" w:bidi="ar-SA"/>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2265</Words>
  <Characters>2420</Characters>
  <Paragraphs>146</Paragraphs>
  <TotalTime>0</TotalTime>
  <ScaleCrop>false</ScaleCrop>
  <LinksUpToDate>false</LinksUpToDate>
  <CharactersWithSpaces>2466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2022-04-06T02:32:00Z</dcterms:created>
  <dc:creator>坚持</dc:creator>
  <cp:lastModifiedBy>坚持</cp:lastModifiedBy>
  <cp:lastPrinted>2022-07-20T09:05:00Z</cp:lastPrinted>
  <dcterms:modified xsi:type="dcterms:W3CDTF">2022-07-21T01:06:44Z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4B6002363A4047849780BCDFC0FA5957</vt:lpwstr>
  </property>
</Properties>
</file>