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ascii="方正小标宋_GBK" w:hAnsi="方正小标宋_GBK" w:eastAsia="方正小标宋_GBK" w:cs="方正小标宋_GBK"/>
          <w:sz w:val="44"/>
          <w:szCs w:val="44"/>
        </w:rPr>
      </w:pPr>
      <w:r>
        <w:rPr>
          <w:rFonts w:hint="eastAsia" w:ascii="方正小标宋_GBK" w:hAnsi="方正小标宋_GBK" w:eastAsia="方正小标宋_GBK" w:cs="方正小标宋_GBK"/>
          <w:sz w:val="44"/>
          <w:szCs w:val="44"/>
        </w:rPr>
        <w:t>鄂州市市场监督管理局</w:t>
      </w:r>
    </w:p>
    <w:p>
      <w:pPr>
        <w:spacing w:line="560" w:lineRule="exact"/>
        <w:jc w:val="center"/>
        <w:rPr>
          <w:rFonts w:ascii="方正仿宋_GBK" w:hAnsi="方正仿宋_GBK" w:eastAsia="方正仿宋_GBK" w:cs="方正仿宋_GBK"/>
          <w:sz w:val="44"/>
          <w:szCs w:val="44"/>
        </w:rPr>
      </w:pPr>
      <w:r>
        <w:rPr>
          <w:rFonts w:hint="eastAsia" w:ascii="方正小标宋_GBK" w:hAnsi="方正小标宋_GBK" w:eastAsia="方正小标宋_GBK" w:cs="方正小标宋_GBK"/>
          <w:sz w:val="44"/>
          <w:szCs w:val="44"/>
        </w:rPr>
        <w:t>行政处罚决定书</w:t>
      </w:r>
    </w:p>
    <w:p>
      <w:pPr>
        <w:jc w:val="center"/>
        <w:rPr>
          <w:rFonts w:hint="eastAsia" w:ascii="仿宋" w:hAnsi="仿宋" w:eastAsia="仿宋" w:cs="仿宋"/>
          <w:sz w:val="32"/>
          <w:szCs w:val="32"/>
        </w:rPr>
      </w:pPr>
      <w:r>
        <w:rPr>
          <w:rFonts w:hint="eastAsia" w:ascii="仿宋" w:hAnsi="仿宋" w:eastAsia="仿宋" w:cs="仿宋"/>
          <w:sz w:val="32"/>
          <w:szCs w:val="32"/>
        </w:rPr>
        <w:t>鄂州市监处罚(2022) 1</w:t>
      </w:r>
      <w:r>
        <w:rPr>
          <w:rFonts w:hint="eastAsia" w:ascii="仿宋" w:hAnsi="仿宋" w:eastAsia="仿宋" w:cs="仿宋"/>
          <w:sz w:val="32"/>
          <w:szCs w:val="32"/>
          <w:lang w:val="en-US" w:eastAsia="zh-CN"/>
        </w:rPr>
        <w:t>2087</w:t>
      </w:r>
      <w:r>
        <w:rPr>
          <w:rFonts w:hint="eastAsia" w:ascii="仿宋" w:hAnsi="仿宋" w:eastAsia="仿宋" w:cs="仿宋"/>
          <w:sz w:val="32"/>
          <w:szCs w:val="32"/>
        </w:rPr>
        <w:t>号</w:t>
      </w:r>
    </w:p>
    <w:p>
      <w:pPr>
        <w:jc w:val="center"/>
        <w:rPr>
          <w:rFonts w:hint="eastAsia" w:ascii="仿宋" w:hAnsi="仿宋" w:eastAsia="仿宋" w:cs="仿宋"/>
          <w:sz w:val="32"/>
          <w:szCs w:val="32"/>
        </w:rPr>
      </w:pPr>
    </w:p>
    <w:p>
      <w:pPr>
        <w:spacing w:line="440" w:lineRule="exact"/>
        <w:rPr>
          <w:rFonts w:hint="eastAsia" w:ascii="仿宋" w:hAnsi="仿宋" w:eastAsia="仿宋" w:cs="仿宋"/>
          <w:sz w:val="32"/>
          <w:szCs w:val="32"/>
          <w:lang w:val="en-US" w:eastAsia="zh-CN"/>
        </w:rPr>
      </w:pPr>
      <w:r>
        <w:rPr>
          <w:rFonts w:hint="eastAsia" w:ascii="仿宋" w:hAnsi="仿宋" w:eastAsia="仿宋" w:cs="仿宋"/>
          <w:sz w:val="32"/>
          <w:szCs w:val="32"/>
        </w:rPr>
        <w:t>当事人：</w:t>
      </w:r>
      <w:r>
        <w:rPr>
          <w:rFonts w:hint="eastAsia" w:ascii="仿宋" w:hAnsi="仿宋" w:eastAsia="仿宋" w:cs="仿宋"/>
          <w:sz w:val="32"/>
          <w:szCs w:val="32"/>
          <w:lang w:eastAsia="zh-CN"/>
        </w:rPr>
        <w:t>鄂州鹏达新能源科技有限公司</w:t>
      </w:r>
    </w:p>
    <w:p>
      <w:pPr>
        <w:spacing w:line="440" w:lineRule="exact"/>
        <w:rPr>
          <w:rFonts w:ascii="仿宋" w:hAnsi="仿宋" w:eastAsia="仿宋" w:cs="仿宋"/>
          <w:sz w:val="32"/>
          <w:szCs w:val="32"/>
        </w:rPr>
      </w:pPr>
      <w:r>
        <w:rPr>
          <w:rFonts w:hint="eastAsia" w:ascii="仿宋" w:hAnsi="仿宋" w:eastAsia="仿宋" w:cs="仿宋"/>
          <w:sz w:val="32"/>
          <w:szCs w:val="32"/>
        </w:rPr>
        <w:t>主体资格证照名称：营业执照</w:t>
      </w:r>
    </w:p>
    <w:p>
      <w:pPr>
        <w:spacing w:line="440" w:lineRule="exact"/>
        <w:rPr>
          <w:rFonts w:hint="default" w:ascii="仿宋" w:hAnsi="仿宋" w:eastAsia="仿宋" w:cs="仿宋"/>
          <w:sz w:val="32"/>
          <w:szCs w:val="32"/>
          <w:lang w:val="en-US" w:eastAsia="zh-CN"/>
        </w:rPr>
      </w:pPr>
      <w:r>
        <w:rPr>
          <w:rFonts w:hint="eastAsia" w:ascii="仿宋" w:hAnsi="仿宋" w:eastAsia="仿宋"/>
          <w:sz w:val="32"/>
          <w:szCs w:val="32"/>
        </w:rPr>
        <w:t>注册号</w:t>
      </w:r>
      <w:r>
        <w:rPr>
          <w:rFonts w:hint="eastAsia" w:ascii="仿宋" w:hAnsi="仿宋" w:eastAsia="仿宋" w:cs="仿宋"/>
          <w:sz w:val="32"/>
          <w:szCs w:val="32"/>
        </w:rPr>
        <w:t>：</w:t>
      </w:r>
      <w:r>
        <w:rPr>
          <w:rFonts w:hint="eastAsia" w:ascii="仿宋" w:hAnsi="仿宋" w:eastAsia="仿宋" w:cs="仿宋"/>
          <w:sz w:val="32"/>
          <w:szCs w:val="32"/>
          <w:lang w:val="en-US" w:eastAsia="zh-CN"/>
        </w:rPr>
        <w:t>4207000214321</w:t>
      </w:r>
    </w:p>
    <w:p>
      <w:pPr>
        <w:spacing w:line="440" w:lineRule="exact"/>
        <w:rPr>
          <w:rFonts w:ascii="仿宋" w:hAnsi="仿宋" w:eastAsia="仿宋" w:cs="仿宋"/>
          <w:sz w:val="32"/>
          <w:szCs w:val="32"/>
        </w:rPr>
      </w:pPr>
      <w:r>
        <w:rPr>
          <w:rFonts w:hint="eastAsia" w:ascii="仿宋" w:hAnsi="仿宋" w:eastAsia="仿宋" w:cs="仿宋"/>
          <w:sz w:val="32"/>
          <w:szCs w:val="32"/>
        </w:rPr>
        <w:t>法定代表人：</w:t>
      </w:r>
      <w:r>
        <w:rPr>
          <w:rFonts w:hint="eastAsia" w:ascii="仿宋" w:hAnsi="仿宋" w:eastAsia="仿宋" w:cs="仿宋"/>
          <w:sz w:val="32"/>
          <w:szCs w:val="32"/>
          <w:lang w:eastAsia="zh-CN"/>
        </w:rPr>
        <w:t>曹</w:t>
      </w:r>
      <w:r>
        <w:rPr>
          <w:rFonts w:hint="eastAsia" w:ascii="仿宋" w:hAnsi="仿宋" w:eastAsia="仿宋" w:cs="仿宋"/>
          <w:sz w:val="32"/>
          <w:szCs w:val="32"/>
          <w:lang w:val="en-US" w:eastAsia="zh-CN"/>
        </w:rPr>
        <w:t>*</w:t>
      </w:r>
      <w:bookmarkStart w:id="0" w:name="_GoBack"/>
      <w:bookmarkEnd w:id="0"/>
      <w:r>
        <w:rPr>
          <w:rFonts w:hint="eastAsia" w:ascii="仿宋" w:hAnsi="仿宋" w:eastAsia="仿宋" w:cs="仿宋"/>
          <w:sz w:val="32"/>
          <w:szCs w:val="32"/>
        </w:rPr>
        <w:t xml:space="preserve">                      </w:t>
      </w:r>
    </w:p>
    <w:p>
      <w:pPr>
        <w:spacing w:line="440" w:lineRule="exact"/>
        <w:rPr>
          <w:rFonts w:hint="default" w:ascii="仿宋" w:hAnsi="仿宋" w:eastAsia="仿宋" w:cs="仿宋"/>
          <w:sz w:val="32"/>
          <w:szCs w:val="32"/>
          <w:lang w:val="en-US" w:eastAsia="zh-CN"/>
        </w:rPr>
      </w:pPr>
      <w:r>
        <w:rPr>
          <w:rFonts w:hint="eastAsia" w:ascii="仿宋" w:hAnsi="仿宋" w:eastAsia="仿宋" w:cs="仿宋"/>
          <w:sz w:val="32"/>
          <w:szCs w:val="32"/>
        </w:rPr>
        <w:t>住  址：</w:t>
      </w:r>
      <w:r>
        <w:rPr>
          <w:rFonts w:hint="eastAsia" w:ascii="仿宋" w:hAnsi="仿宋" w:eastAsia="仿宋" w:cs="仿宋"/>
          <w:sz w:val="32"/>
          <w:szCs w:val="32"/>
          <w:lang w:eastAsia="zh-CN"/>
        </w:rPr>
        <w:t>鄂州市华容区庙岭镇发展大道</w:t>
      </w:r>
      <w:r>
        <w:rPr>
          <w:rFonts w:hint="eastAsia" w:ascii="仿宋" w:hAnsi="仿宋" w:eastAsia="仿宋" w:cs="仿宋"/>
          <w:sz w:val="32"/>
          <w:szCs w:val="32"/>
          <w:lang w:val="en-US" w:eastAsia="zh-CN"/>
        </w:rPr>
        <w:t>***号</w:t>
      </w:r>
    </w:p>
    <w:p>
      <w:pPr>
        <w:spacing w:line="440" w:lineRule="exact"/>
        <w:rPr>
          <w:rFonts w:hint="default" w:ascii="仿宋" w:hAnsi="仿宋" w:eastAsia="仿宋" w:cs="仿宋"/>
          <w:sz w:val="32"/>
          <w:szCs w:val="32"/>
          <w:lang w:val="en-US" w:eastAsia="zh-CN"/>
        </w:rPr>
      </w:pPr>
      <w:r>
        <w:rPr>
          <w:rFonts w:hint="eastAsia" w:ascii="仿宋" w:hAnsi="仿宋" w:eastAsia="仿宋" w:cs="仿宋"/>
          <w:sz w:val="32"/>
          <w:szCs w:val="32"/>
        </w:rPr>
        <w:t>联系电话：</w:t>
      </w:r>
      <w:r>
        <w:rPr>
          <w:rFonts w:hint="eastAsia" w:ascii="仿宋" w:hAnsi="仿宋" w:eastAsia="仿宋" w:cs="仿宋"/>
          <w:sz w:val="32"/>
          <w:szCs w:val="32"/>
          <w:lang w:val="en-US" w:eastAsia="zh-CN"/>
        </w:rPr>
        <w:t>158******75</w:t>
      </w:r>
    </w:p>
    <w:p>
      <w:pPr>
        <w:adjustRightInd w:val="0"/>
        <w:snapToGrid w:val="0"/>
        <w:spacing w:line="440" w:lineRule="exact"/>
        <w:ind w:firstLine="640" w:firstLineChars="200"/>
        <w:rPr>
          <w:rFonts w:ascii="仿宋" w:hAnsi="仿宋" w:eastAsia="仿宋" w:cs="仿宋"/>
          <w:sz w:val="32"/>
          <w:szCs w:val="32"/>
        </w:rPr>
      </w:pPr>
      <w:r>
        <w:rPr>
          <w:rFonts w:hint="eastAsia" w:ascii="仿宋" w:hAnsi="仿宋" w:eastAsia="仿宋" w:cs="仿宋"/>
          <w:sz w:val="32"/>
          <w:szCs w:val="32"/>
        </w:rPr>
        <w:t>当事人未按规定进行年报，经前期排查，当事人公司成立后无正当理由超过六个月未开业，或者开业后自行停业连续六个月以上，当事人的行为违反《中华人民共和国公司法》第二百一十一条第一款及《中华人民共和国公司登记管理条例》第六十七条的规定。</w:t>
      </w:r>
    </w:p>
    <w:p>
      <w:pPr>
        <w:spacing w:line="440" w:lineRule="exact"/>
        <w:ind w:firstLine="640" w:firstLineChars="200"/>
        <w:rPr>
          <w:rFonts w:ascii="仿宋" w:hAnsi="仿宋" w:eastAsia="仿宋" w:cs="仿宋"/>
          <w:sz w:val="32"/>
          <w:szCs w:val="32"/>
        </w:rPr>
      </w:pPr>
      <w:r>
        <w:rPr>
          <w:rFonts w:hint="eastAsia" w:ascii="仿宋" w:hAnsi="仿宋" w:eastAsia="仿宋" w:cs="仿宋"/>
          <w:sz w:val="32"/>
          <w:szCs w:val="32"/>
          <w:lang w:val="en-US" w:eastAsia="zh-CN"/>
        </w:rPr>
        <w:t>2021年</w:t>
      </w:r>
      <w:r>
        <w:rPr>
          <w:rFonts w:hint="eastAsia" w:ascii="仿宋" w:hAnsi="仿宋" w:eastAsia="仿宋" w:cs="仿宋"/>
          <w:sz w:val="32"/>
          <w:szCs w:val="32"/>
        </w:rPr>
        <w:t>11月</w:t>
      </w:r>
      <w:r>
        <w:rPr>
          <w:rFonts w:hint="eastAsia" w:ascii="仿宋" w:hAnsi="仿宋" w:eastAsia="仿宋" w:cs="仿宋"/>
          <w:sz w:val="32"/>
          <w:szCs w:val="32"/>
          <w:lang w:val="en-US" w:eastAsia="zh-CN"/>
        </w:rPr>
        <w:t>2</w:t>
      </w:r>
      <w:r>
        <w:rPr>
          <w:rFonts w:hint="eastAsia" w:ascii="仿宋" w:hAnsi="仿宋" w:eastAsia="仿宋" w:cs="仿宋"/>
          <w:sz w:val="32"/>
          <w:szCs w:val="32"/>
        </w:rPr>
        <w:t>日，本局决定对当事人进行立案调查。</w:t>
      </w:r>
    </w:p>
    <w:p>
      <w:pPr>
        <w:widowControl/>
        <w:shd w:val="clear" w:color="auto" w:fill="FFFFFF"/>
        <w:spacing w:line="440" w:lineRule="exact"/>
        <w:ind w:firstLine="640" w:firstLineChars="200"/>
        <w:rPr>
          <w:rFonts w:ascii="仿宋" w:hAnsi="仿宋" w:eastAsia="仿宋"/>
          <w:color w:val="231F20"/>
          <w:sz w:val="32"/>
          <w:szCs w:val="32"/>
        </w:rPr>
      </w:pPr>
      <w:r>
        <w:rPr>
          <w:rFonts w:hint="eastAsia" w:ascii="仿宋" w:hAnsi="仿宋" w:eastAsia="仿宋" w:cs="仿宋"/>
          <w:sz w:val="32"/>
          <w:szCs w:val="32"/>
        </w:rPr>
        <w:t>经查，当事人近三年未正常申报年报；经实地核查，该企业在登记住所未见办公经营场所；拔打留存的电话，也无法联系当事人；经税务部门核查，上述企业未正常进行税务登记或六个月及以上未纳税申报。当事人连续6个月以上未营业的行为，违反了《中华人民共和国公司法》第二百一十一条第一款及《中华人民共和国公司登记管理条例》第六十七条的规定。</w:t>
      </w:r>
    </w:p>
    <w:p>
      <w:pPr>
        <w:spacing w:line="440" w:lineRule="exact"/>
        <w:ind w:firstLine="640" w:firstLineChars="200"/>
        <w:rPr>
          <w:rFonts w:ascii="仿宋" w:hAnsi="仿宋" w:eastAsia="仿宋" w:cs="仿宋"/>
          <w:sz w:val="32"/>
          <w:szCs w:val="32"/>
        </w:rPr>
      </w:pPr>
      <w:r>
        <w:rPr>
          <w:rFonts w:hint="eastAsia" w:ascii="仿宋" w:hAnsi="仿宋" w:eastAsia="仿宋" w:cs="仿宋"/>
          <w:sz w:val="32"/>
          <w:szCs w:val="32"/>
        </w:rPr>
        <w:t>上述事实，主要有以下证据证实：</w:t>
      </w:r>
    </w:p>
    <w:p>
      <w:pPr>
        <w:tabs>
          <w:tab w:val="left" w:pos="5535"/>
        </w:tabs>
        <w:spacing w:line="440" w:lineRule="exact"/>
        <w:ind w:firstLine="608" w:firstLineChars="190"/>
        <w:rPr>
          <w:rFonts w:ascii="仿宋" w:hAnsi="仿宋" w:eastAsia="仿宋" w:cs="仿宋"/>
          <w:sz w:val="32"/>
          <w:szCs w:val="32"/>
        </w:rPr>
      </w:pPr>
      <w:r>
        <w:rPr>
          <w:rFonts w:hint="eastAsia" w:ascii="仿宋" w:hAnsi="仿宋" w:eastAsia="仿宋" w:cs="仿宋"/>
          <w:sz w:val="32"/>
          <w:szCs w:val="32"/>
        </w:rPr>
        <w:t>1、企业基本信息；</w:t>
      </w:r>
      <w:r>
        <w:rPr>
          <w:rFonts w:ascii="仿宋" w:hAnsi="仿宋" w:eastAsia="仿宋" w:cs="仿宋"/>
          <w:sz w:val="32"/>
          <w:szCs w:val="32"/>
        </w:rPr>
        <w:tab/>
      </w:r>
    </w:p>
    <w:p>
      <w:pPr>
        <w:spacing w:line="440" w:lineRule="exact"/>
        <w:ind w:firstLine="640" w:firstLineChars="200"/>
        <w:rPr>
          <w:rFonts w:ascii="仿宋" w:hAnsi="仿宋" w:eastAsia="仿宋" w:cs="仿宋"/>
          <w:sz w:val="32"/>
          <w:szCs w:val="32"/>
        </w:rPr>
      </w:pPr>
      <w:r>
        <w:rPr>
          <w:rFonts w:hint="eastAsia" w:ascii="仿宋" w:hAnsi="仿宋" w:eastAsia="仿宋" w:cs="仿宋"/>
          <w:sz w:val="32"/>
          <w:szCs w:val="32"/>
          <w:lang w:val="en-US" w:eastAsia="zh-CN"/>
        </w:rPr>
        <w:t>2</w:t>
      </w:r>
      <w:r>
        <w:rPr>
          <w:rFonts w:hint="eastAsia" w:ascii="仿宋" w:hAnsi="仿宋" w:eastAsia="仿宋" w:cs="仿宋"/>
          <w:sz w:val="32"/>
          <w:szCs w:val="32"/>
        </w:rPr>
        <w:t xml:space="preserve">、经税务部门核查，未进行税务登记或六个月及以上未纳税申报的企业名单；    </w:t>
      </w:r>
    </w:p>
    <w:p>
      <w:pPr>
        <w:adjustRightInd w:val="0"/>
        <w:snapToGrid w:val="0"/>
        <w:spacing w:line="440" w:lineRule="exact"/>
        <w:ind w:firstLine="640" w:firstLineChars="200"/>
        <w:rPr>
          <w:rFonts w:ascii="仿宋" w:hAnsi="仿宋" w:eastAsia="仿宋" w:cs="仿宋"/>
          <w:sz w:val="32"/>
          <w:szCs w:val="32"/>
        </w:rPr>
      </w:pPr>
      <w:r>
        <w:rPr>
          <w:rFonts w:hint="eastAsia" w:ascii="仿宋" w:hAnsi="仿宋" w:eastAsia="仿宋" w:cs="仿宋"/>
          <w:sz w:val="32"/>
          <w:szCs w:val="32"/>
          <w:lang w:val="en-US" w:eastAsia="zh-CN"/>
        </w:rPr>
        <w:t>3</w:t>
      </w:r>
      <w:r>
        <w:rPr>
          <w:rFonts w:hint="eastAsia" w:ascii="仿宋" w:hAnsi="仿宋" w:eastAsia="仿宋" w:cs="仿宋"/>
          <w:sz w:val="32"/>
          <w:szCs w:val="32"/>
        </w:rPr>
        <w:t>、清理长期停业未经营企业《电话在联系记录表》；</w:t>
      </w:r>
    </w:p>
    <w:p>
      <w:pPr>
        <w:adjustRightInd w:val="0"/>
        <w:snapToGrid w:val="0"/>
        <w:spacing w:line="440" w:lineRule="exact"/>
        <w:ind w:firstLine="640" w:firstLineChars="200"/>
        <w:rPr>
          <w:rFonts w:ascii="仿宋" w:hAnsi="仿宋" w:eastAsia="仿宋" w:cs="仿宋"/>
          <w:sz w:val="32"/>
          <w:szCs w:val="32"/>
        </w:rPr>
      </w:pPr>
      <w:r>
        <w:rPr>
          <w:rFonts w:hint="eastAsia" w:ascii="仿宋" w:hAnsi="仿宋" w:eastAsia="仿宋" w:cs="仿宋"/>
          <w:sz w:val="32"/>
          <w:szCs w:val="32"/>
          <w:lang w:val="en-US" w:eastAsia="zh-CN"/>
        </w:rPr>
        <w:t>4</w:t>
      </w:r>
      <w:r>
        <w:rPr>
          <w:rFonts w:hint="eastAsia" w:ascii="仿宋" w:hAnsi="仿宋" w:eastAsia="仿宋" w:cs="仿宋"/>
          <w:sz w:val="32"/>
          <w:szCs w:val="32"/>
        </w:rPr>
        <w:t>、《补办年报工作提示通知书》及特快专递改退批条。</w:t>
      </w:r>
    </w:p>
    <w:p>
      <w:pPr>
        <w:spacing w:line="440" w:lineRule="exact"/>
        <w:ind w:firstLine="608" w:firstLineChars="190"/>
        <w:rPr>
          <w:rFonts w:ascii="仿宋" w:hAnsi="仿宋" w:eastAsia="仿宋" w:cs="仿宋"/>
          <w:sz w:val="32"/>
          <w:szCs w:val="32"/>
        </w:rPr>
      </w:pPr>
      <w:r>
        <w:rPr>
          <w:rFonts w:hint="eastAsia" w:ascii="仿宋" w:hAnsi="仿宋" w:eastAsia="仿宋" w:cs="仿宋"/>
          <w:sz w:val="32"/>
          <w:szCs w:val="32"/>
          <w:lang w:val="en-US" w:eastAsia="zh-CN"/>
        </w:rPr>
        <w:t>5</w:t>
      </w:r>
      <w:r>
        <w:rPr>
          <w:rFonts w:hint="eastAsia" w:ascii="仿宋" w:hAnsi="仿宋" w:eastAsia="仿宋" w:cs="仿宋"/>
          <w:sz w:val="32"/>
          <w:szCs w:val="32"/>
        </w:rPr>
        <w:t>、证明企业未在登记住所办公的实地《现场笔录》及现场照片。</w:t>
      </w:r>
    </w:p>
    <w:p>
      <w:pPr>
        <w:spacing w:line="440" w:lineRule="exact"/>
        <w:rPr>
          <w:rFonts w:ascii="仿宋" w:hAnsi="仿宋" w:eastAsia="仿宋" w:cs="仿宋"/>
          <w:sz w:val="32"/>
          <w:szCs w:val="32"/>
        </w:rPr>
      </w:pPr>
      <w:r>
        <w:rPr>
          <w:rFonts w:hint="eastAsia" w:ascii="仿宋" w:hAnsi="仿宋" w:eastAsia="仿宋" w:cs="仿宋"/>
          <w:sz w:val="32"/>
          <w:szCs w:val="32"/>
        </w:rPr>
        <w:t xml:space="preserve">    2022年</w:t>
      </w:r>
      <w:r>
        <w:rPr>
          <w:rFonts w:hint="eastAsia" w:ascii="仿宋" w:hAnsi="仿宋" w:eastAsia="仿宋" w:cs="仿宋"/>
          <w:sz w:val="32"/>
          <w:szCs w:val="32"/>
          <w:lang w:val="en-US" w:eastAsia="zh-CN"/>
        </w:rPr>
        <w:t>5</w:t>
      </w:r>
      <w:r>
        <w:rPr>
          <w:rFonts w:hint="eastAsia" w:ascii="仿宋" w:hAnsi="仿宋" w:eastAsia="仿宋" w:cs="仿宋"/>
          <w:sz w:val="32"/>
          <w:szCs w:val="32"/>
        </w:rPr>
        <w:t>月</w:t>
      </w:r>
      <w:r>
        <w:rPr>
          <w:rFonts w:hint="eastAsia" w:ascii="仿宋" w:hAnsi="仿宋" w:eastAsia="仿宋" w:cs="仿宋"/>
          <w:sz w:val="32"/>
          <w:szCs w:val="32"/>
          <w:lang w:val="en-US" w:eastAsia="zh-CN"/>
        </w:rPr>
        <w:t>5</w:t>
      </w:r>
      <w:r>
        <w:rPr>
          <w:rFonts w:hint="eastAsia" w:ascii="仿宋" w:hAnsi="仿宋" w:eastAsia="仿宋" w:cs="仿宋"/>
          <w:sz w:val="32"/>
          <w:szCs w:val="32"/>
        </w:rPr>
        <w:t>日，本局采取公告送达的方式向当事人送达了鄂州市监罚告〔2022〕第</w:t>
      </w:r>
      <w:r>
        <w:rPr>
          <w:rFonts w:hint="eastAsia" w:ascii="仿宋" w:hAnsi="仿宋" w:eastAsia="仿宋" w:cs="仿宋"/>
          <w:sz w:val="32"/>
          <w:szCs w:val="32"/>
          <w:lang w:val="en-US" w:eastAsia="zh-CN"/>
        </w:rPr>
        <w:t>12063</w:t>
      </w:r>
      <w:r>
        <w:rPr>
          <w:rFonts w:hint="eastAsia" w:ascii="仿宋" w:hAnsi="仿宋" w:eastAsia="仿宋" w:cs="仿宋"/>
          <w:sz w:val="32"/>
          <w:szCs w:val="32"/>
        </w:rPr>
        <w:t>号《行政处罚</w:t>
      </w:r>
      <w:r>
        <w:rPr>
          <w:rFonts w:hint="eastAsia" w:ascii="仿宋" w:hAnsi="仿宋" w:eastAsia="仿宋" w:cs="仿宋"/>
          <w:sz w:val="32"/>
          <w:szCs w:val="32"/>
          <w:lang w:eastAsia="zh-CN"/>
        </w:rPr>
        <w:t>听证</w:t>
      </w:r>
      <w:r>
        <w:rPr>
          <w:rFonts w:hint="eastAsia" w:ascii="仿宋" w:hAnsi="仿宋" w:eastAsia="仿宋" w:cs="仿宋"/>
          <w:sz w:val="32"/>
          <w:szCs w:val="32"/>
        </w:rPr>
        <w:t>告知书》，当事人在规定期限内未提出陈述申辩</w:t>
      </w:r>
      <w:r>
        <w:rPr>
          <w:rFonts w:hint="eastAsia" w:ascii="仿宋" w:hAnsi="仿宋" w:eastAsia="仿宋" w:cs="仿宋"/>
          <w:sz w:val="32"/>
          <w:szCs w:val="32"/>
          <w:lang w:eastAsia="zh-CN"/>
        </w:rPr>
        <w:t>和要求举行听证</w:t>
      </w:r>
      <w:r>
        <w:rPr>
          <w:rFonts w:hint="eastAsia" w:ascii="仿宋" w:hAnsi="仿宋" w:eastAsia="仿宋" w:cs="仿宋"/>
          <w:sz w:val="32"/>
          <w:szCs w:val="32"/>
        </w:rPr>
        <w:t>。</w:t>
      </w:r>
    </w:p>
    <w:p>
      <w:pPr>
        <w:adjustRightInd w:val="0"/>
        <w:snapToGrid w:val="0"/>
        <w:spacing w:line="440" w:lineRule="exact"/>
        <w:ind w:firstLine="640" w:firstLineChars="200"/>
        <w:rPr>
          <w:rFonts w:ascii="仿宋" w:hAnsi="仿宋" w:eastAsia="仿宋" w:cs="仿宋"/>
          <w:sz w:val="32"/>
          <w:szCs w:val="32"/>
        </w:rPr>
      </w:pPr>
      <w:r>
        <w:rPr>
          <w:rFonts w:hint="eastAsia" w:ascii="仿宋" w:hAnsi="仿宋" w:eastAsia="仿宋" w:cs="仿宋"/>
          <w:sz w:val="32"/>
          <w:szCs w:val="32"/>
        </w:rPr>
        <w:t>综上，当事人连续6个月以上未营业的行为，依据《中华人民共和国公司法》第二百一十一条第一款、《中华人民共和国公司登记管理条例》第六十七条的规定，属公司成立后无正当理由超过六个月未开业的，或者开业后自行停业连续六个月以上的行为。</w:t>
      </w:r>
    </w:p>
    <w:p>
      <w:pPr>
        <w:adjustRightInd w:val="0"/>
        <w:snapToGrid w:val="0"/>
        <w:spacing w:line="440" w:lineRule="exact"/>
        <w:ind w:firstLine="640" w:firstLineChars="200"/>
        <w:rPr>
          <w:rFonts w:ascii="仿宋" w:hAnsi="仿宋" w:eastAsia="仿宋" w:cs="仿宋"/>
          <w:sz w:val="32"/>
          <w:szCs w:val="32"/>
        </w:rPr>
      </w:pPr>
      <w:r>
        <w:rPr>
          <w:rFonts w:hint="eastAsia" w:ascii="仿宋" w:hAnsi="仿宋" w:eastAsia="仿宋" w:cs="仿宋"/>
          <w:sz w:val="32"/>
          <w:szCs w:val="32"/>
        </w:rPr>
        <w:t>《中华人民共和国公司法》第二百一十一条第一款“公司成立后无正当理由超过六个月未开业的，或者开业后自行停业连续六个月以上的，可以由公司登记机关吊销营业执照”；</w:t>
      </w:r>
    </w:p>
    <w:p>
      <w:pPr>
        <w:adjustRightInd w:val="0"/>
        <w:snapToGrid w:val="0"/>
        <w:spacing w:line="440" w:lineRule="exact"/>
        <w:ind w:firstLine="640" w:firstLineChars="200"/>
        <w:rPr>
          <w:rFonts w:ascii="仿宋" w:hAnsi="仿宋" w:eastAsia="仿宋" w:cs="仿宋"/>
          <w:sz w:val="32"/>
          <w:szCs w:val="32"/>
        </w:rPr>
      </w:pPr>
      <w:r>
        <w:rPr>
          <w:rFonts w:hint="eastAsia" w:ascii="仿宋" w:hAnsi="仿宋" w:eastAsia="仿宋" w:cs="仿宋"/>
          <w:sz w:val="32"/>
          <w:szCs w:val="32"/>
        </w:rPr>
        <w:t>《中华人民共和国公司登记管理条例》第六十七条“公司成立后无正当理由超过6个月未开业的，或者开业后自行停业连续6个月以上的，可以由公司登记机关吊销营业执照”。</w:t>
      </w:r>
    </w:p>
    <w:p>
      <w:pPr>
        <w:adjustRightInd w:val="0"/>
        <w:snapToGrid w:val="0"/>
        <w:spacing w:line="440" w:lineRule="exact"/>
        <w:ind w:firstLine="640" w:firstLineChars="200"/>
        <w:rPr>
          <w:rFonts w:ascii="仿宋" w:hAnsi="仿宋" w:eastAsia="仿宋" w:cs="仿宋"/>
          <w:sz w:val="32"/>
          <w:szCs w:val="32"/>
        </w:rPr>
      </w:pPr>
      <w:r>
        <w:rPr>
          <w:rFonts w:hint="eastAsia" w:ascii="仿宋" w:hAnsi="仿宋" w:eastAsia="仿宋" w:cs="仿宋"/>
          <w:sz w:val="32"/>
          <w:szCs w:val="32"/>
        </w:rPr>
        <w:t>根据以上法律法规的规定以及当事人的违法事实和情节，经本局研究决定，对当事人作如下行政处罚：吊销当事人营业执照。</w:t>
      </w:r>
    </w:p>
    <w:p>
      <w:pPr>
        <w:spacing w:line="44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对以上处罚决定如有不服，可以自收到处罚决定书之日起六十日内向鄂州市人民政府或湖北省市场监督管理局申请复议，也可以依法在六个月内直接向鄂州市华容区人民法院起诉。复议或诉讼期间,行政处罚不停止执行。         </w:t>
      </w:r>
    </w:p>
    <w:p>
      <w:pPr>
        <w:spacing w:line="440" w:lineRule="exact"/>
        <w:jc w:val="right"/>
        <w:rPr>
          <w:rFonts w:ascii="仿宋" w:hAnsi="仿宋" w:eastAsia="仿宋" w:cs="仿宋"/>
          <w:sz w:val="32"/>
          <w:szCs w:val="32"/>
        </w:rPr>
      </w:pPr>
    </w:p>
    <w:p>
      <w:pPr>
        <w:spacing w:line="440" w:lineRule="exact"/>
        <w:jc w:val="right"/>
        <w:rPr>
          <w:rFonts w:ascii="仿宋" w:hAnsi="仿宋" w:eastAsia="仿宋" w:cs="仿宋"/>
          <w:sz w:val="32"/>
          <w:szCs w:val="32"/>
        </w:rPr>
      </w:pPr>
    </w:p>
    <w:p>
      <w:pPr>
        <w:spacing w:line="440" w:lineRule="exact"/>
        <w:jc w:val="right"/>
        <w:rPr>
          <w:rFonts w:hint="eastAsia" w:ascii="仿宋" w:hAnsi="仿宋" w:eastAsia="仿宋" w:cs="仿宋"/>
          <w:sz w:val="32"/>
          <w:szCs w:val="32"/>
        </w:rPr>
      </w:pPr>
      <w:r>
        <w:rPr>
          <w:rFonts w:hint="eastAsia" w:ascii="仿宋" w:hAnsi="仿宋" w:eastAsia="仿宋" w:cs="仿宋"/>
          <w:sz w:val="32"/>
          <w:szCs w:val="32"/>
        </w:rPr>
        <w:t>鄂州市市场监督管理局</w:t>
      </w:r>
    </w:p>
    <w:p>
      <w:pPr>
        <w:spacing w:line="440" w:lineRule="exact"/>
        <w:jc w:val="right"/>
        <w:rPr>
          <w:rFonts w:hint="eastAsia" w:ascii="仿宋" w:hAnsi="仿宋" w:eastAsia="仿宋" w:cs="仿宋"/>
          <w:sz w:val="32"/>
          <w:szCs w:val="32"/>
        </w:rPr>
      </w:pPr>
    </w:p>
    <w:p>
      <w:pPr>
        <w:spacing w:line="440" w:lineRule="exact"/>
        <w:ind w:firstLine="5440" w:firstLineChars="1700"/>
        <w:jc w:val="left"/>
        <w:rPr>
          <w:rFonts w:ascii="仿宋" w:hAnsi="仿宋" w:eastAsia="仿宋" w:cs="仿宋"/>
          <w:sz w:val="32"/>
          <w:szCs w:val="32"/>
        </w:rPr>
      </w:pPr>
      <w:r>
        <w:rPr>
          <w:rFonts w:hint="eastAsia" w:ascii="仿宋" w:hAnsi="仿宋" w:eastAsia="仿宋" w:cs="仿宋"/>
          <w:sz w:val="32"/>
          <w:szCs w:val="32"/>
        </w:rPr>
        <w:t>2022年</w:t>
      </w:r>
      <w:r>
        <w:rPr>
          <w:rFonts w:hint="eastAsia" w:ascii="仿宋" w:hAnsi="仿宋" w:eastAsia="仿宋" w:cs="仿宋"/>
          <w:sz w:val="32"/>
          <w:szCs w:val="32"/>
          <w:lang w:val="en-US" w:eastAsia="zh-CN"/>
        </w:rPr>
        <w:t>7</w:t>
      </w:r>
      <w:r>
        <w:rPr>
          <w:rFonts w:hint="eastAsia" w:ascii="仿宋" w:hAnsi="仿宋" w:eastAsia="仿宋" w:cs="仿宋"/>
          <w:sz w:val="32"/>
          <w:szCs w:val="32"/>
        </w:rPr>
        <w:t>月1</w:t>
      </w:r>
      <w:r>
        <w:rPr>
          <w:rFonts w:hint="eastAsia" w:ascii="仿宋" w:hAnsi="仿宋" w:eastAsia="仿宋" w:cs="仿宋"/>
          <w:sz w:val="32"/>
          <w:szCs w:val="32"/>
          <w:lang w:val="en-US" w:eastAsia="zh-CN"/>
        </w:rPr>
        <w:t>9</w:t>
      </w:r>
      <w:r>
        <w:rPr>
          <w:rFonts w:hint="eastAsia" w:ascii="仿宋" w:hAnsi="仿宋" w:eastAsia="仿宋" w:cs="仿宋"/>
          <w:sz w:val="32"/>
          <w:szCs w:val="32"/>
        </w:rPr>
        <w:t>日</w:t>
      </w:r>
    </w:p>
    <w:p>
      <w:pPr>
        <w:spacing w:line="440" w:lineRule="exact"/>
        <w:jc w:val="left"/>
        <w:rPr>
          <w:rFonts w:ascii="仿宋" w:hAnsi="仿宋" w:eastAsia="仿宋" w:cs="仿宋"/>
          <w:sz w:val="32"/>
          <w:szCs w:val="32"/>
        </w:rPr>
      </w:pPr>
    </w:p>
    <w:p>
      <w:pPr>
        <w:snapToGrid w:val="0"/>
        <w:spacing w:line="460" w:lineRule="exact"/>
        <w:rPr>
          <w:rFonts w:ascii="仿宋" w:hAnsi="仿宋" w:eastAsia="仿宋" w:cs="仿宋"/>
          <w:color w:val="000000"/>
          <w:sz w:val="32"/>
          <w:szCs w:val="32"/>
        </w:rPr>
      </w:pPr>
      <w:r>
        <w:rPr>
          <w:rFonts w:hint="eastAsia" w:ascii="仿宋" w:hAnsi="仿宋" w:eastAsia="仿宋" w:cs="新宋体"/>
          <w:color w:val="000000"/>
          <w:sz w:val="32"/>
          <w:szCs w:val="32"/>
        </w:rPr>
        <w:t>市场监督管理部门将依法向社会公示本行政处罚决定信息</w:t>
      </w:r>
    </w:p>
    <w:p>
      <w:pPr>
        <w:spacing w:line="460" w:lineRule="exact"/>
        <w:rPr>
          <w:rFonts w:ascii="仿宋" w:hAnsi="仿宋" w:eastAsia="仿宋"/>
          <w:sz w:val="32"/>
          <w:szCs w:val="32"/>
        </w:rPr>
      </w:pPr>
      <w:r>
        <w:rPr>
          <w:rFonts w:ascii="仿宋" w:hAnsi="仿宋" w:eastAsia="仿宋"/>
          <w:sz w:val="32"/>
          <w:szCs w:val="32"/>
        </w:rPr>
        <mc:AlternateContent>
          <mc:Choice Requires="wps">
            <w:drawing>
              <wp:anchor distT="0" distB="0" distL="114300" distR="114300" simplePos="0" relativeHeight="251660288" behindDoc="0" locked="0" layoutInCell="1" allowOverlap="1">
                <wp:simplePos x="0" y="0"/>
                <wp:positionH relativeFrom="column">
                  <wp:posOffset>-100330</wp:posOffset>
                </wp:positionH>
                <wp:positionV relativeFrom="paragraph">
                  <wp:posOffset>37465</wp:posOffset>
                </wp:positionV>
                <wp:extent cx="5550535" cy="635"/>
                <wp:effectExtent l="0" t="0" r="0" b="0"/>
                <wp:wrapNone/>
                <wp:docPr id="1" name="直接连接符 1"/>
                <wp:cNvGraphicFramePr/>
                <a:graphic xmlns:a="http://schemas.openxmlformats.org/drawingml/2006/main">
                  <a:graphicData uri="http://schemas.microsoft.com/office/word/2010/wordprocessingShape">
                    <wps:wsp>
                      <wps:cNvCnPr/>
                      <wps:spPr>
                        <a:xfrm>
                          <a:off x="0" y="0"/>
                          <a:ext cx="5550535" cy="635"/>
                        </a:xfrm>
                        <a:prstGeom prst="line">
                          <a:avLst/>
                        </a:prstGeom>
                        <a:ln w="9525" cap="flat" cmpd="sng">
                          <a:solidFill>
                            <a:srgbClr val="000000"/>
                          </a:solidFill>
                          <a:prstDash val="solid"/>
                          <a:headEnd type="none" w="med" len="med"/>
                          <a:tailEnd type="none" w="med" len="med"/>
                        </a:ln>
                        <a:effectLst/>
                      </wps:spPr>
                      <wps:bodyPr upright="1"/>
                    </wps:wsp>
                  </a:graphicData>
                </a:graphic>
              </wp:anchor>
            </w:drawing>
          </mc:Choice>
          <mc:Fallback>
            <w:pict>
              <v:line id="_x0000_s1026" o:spid="_x0000_s1026" o:spt="20" style="position:absolute;left:0pt;margin-left:-7.9pt;margin-top:2.95pt;height:0.05pt;width:437.05pt;z-index:251660288;mso-width-relative:page;mso-height-relative:page;" filled="f" stroked="t" coordsize="21600,21600" o:gfxdata="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">
                <v:fill on="f" focussize="0,0"/>
                <v:stroke color="#000000" joinstyle="round"/>
                <v:imagedata o:title=""/>
                <o:lock v:ext="edit" aspectratio="f"/>
              </v:line>
            </w:pict>
          </mc:Fallback>
        </mc:AlternateContent>
      </w: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2" name="直接连接符 12"/>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a:effectLst/>
                      </wps:spPr>
                      <wps:bodyPr/>
                    </wps:wsp>
                  </a:graphicData>
                </a:graphic>
              </wp:anchor>
            </w:drawing>
          </mc:Choice>
          <mc:Fallback>
            <w:pict>
              <v:line id="_x0000_s1026"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">
                <v:fill on="f" focussize="0,0"/>
                <v:stroke weight="0.737007874015748pt" color="#000000" joinstyle="round" endcap="square"/>
                <v:imagedata o:title=""/>
                <o:lock v:ext="edit" aspectratio="f"/>
              </v:line>
            </w:pict>
          </mc:Fallback>
        </mc:AlternateContent>
      </w:r>
      <w:r>
        <w:rPr>
          <w:rFonts w:hint="eastAsia" w:ascii="仿宋" w:hAnsi="仿宋" w:eastAsia="仿宋" w:cs="仿宋"/>
          <w:color w:val="000000"/>
          <w:sz w:val="32"/>
          <w:szCs w:val="32"/>
        </w:rPr>
        <w:t>本文书一式两份，一份送达，一份归档。</w:t>
      </w: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6FF" w:usb1="420024FF" w:usb2="02000000" w:usb3="00000000" w:csb0="2000019F" w:csb1="00000000"/>
  </w:font>
  <w:font w:name="Calibri">
    <w:panose1 w:val="020F0502020204030204"/>
    <w:charset w:val="00"/>
    <w:family w:val="swiss"/>
    <w:pitch w:val="default"/>
    <w:sig w:usb0="E4002EFF" w:usb1="C000247B" w:usb2="00000009" w:usb3="00000000" w:csb0="200001FF" w:csb1="00000000"/>
  </w:font>
  <w:font w:name="方正小标宋_GBK">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方正仿宋_GBK">
    <w:altName w:val="宋体"/>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新宋体">
    <w:panose1 w:val="02010609030101010101"/>
    <w:charset w:val="86"/>
    <w:family w:val="modern"/>
    <w:pitch w:val="default"/>
    <w:sig w:usb0="00000283" w:usb1="288F0000" w:usb2="00000006" w:usb3="00000000" w:csb0="00040001" w:csb1="00000000"/>
  </w:font>
  <w:font w:name="Arial">
    <w:panose1 w:val="020B0604020202020204"/>
    <w:charset w:val="00"/>
    <w:family w:val="auto"/>
    <w:pitch w:val="default"/>
    <w:sig w:usb0="E0002EFF" w:usb1="C000785B"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76102381"/>
    </w:sdtPr>
    <w:sdtContent>
      <w:p>
        <w:pPr>
          <w:pStyle w:val="4"/>
          <w:jc w:val="center"/>
        </w:pPr>
        <w:r>
          <w:fldChar w:fldCharType="begin"/>
        </w:r>
        <w:r>
          <w:instrText xml:space="preserve">PAGE   \* MERGEFORMAT</w:instrText>
        </w:r>
        <w:r>
          <w:fldChar w:fldCharType="separate"/>
        </w:r>
        <w:r>
          <w:rPr>
            <w:lang w:val="zh-CN"/>
          </w:rPr>
          <w:t>2</w:t>
        </w:r>
        <w:r>
          <w:fldChar w:fldCharType="end"/>
        </w:r>
      </w:p>
    </w:sdtContent>
  </w:sdt>
  <w:p>
    <w:pPr>
      <w:pStyle w:val="4"/>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AxYzljZmZhN2IzZDRmMjY2ZDg3OWY5NjJjODFhYmQifQ=="/>
  </w:docVars>
  <w:rsids>
    <w:rsidRoot w:val="003C4CE2"/>
    <w:rsid w:val="00006EA9"/>
    <w:rsid w:val="00046954"/>
    <w:rsid w:val="000B7EFF"/>
    <w:rsid w:val="000D31A6"/>
    <w:rsid w:val="00133DC8"/>
    <w:rsid w:val="00141CED"/>
    <w:rsid w:val="00141D30"/>
    <w:rsid w:val="0015607E"/>
    <w:rsid w:val="001774D5"/>
    <w:rsid w:val="00184986"/>
    <w:rsid w:val="00191C2E"/>
    <w:rsid w:val="00241F1C"/>
    <w:rsid w:val="002A1866"/>
    <w:rsid w:val="002B30EB"/>
    <w:rsid w:val="002E19F5"/>
    <w:rsid w:val="00304732"/>
    <w:rsid w:val="003532F5"/>
    <w:rsid w:val="00377BCB"/>
    <w:rsid w:val="003967EA"/>
    <w:rsid w:val="003B3241"/>
    <w:rsid w:val="003C4CE2"/>
    <w:rsid w:val="003F0E74"/>
    <w:rsid w:val="00451A14"/>
    <w:rsid w:val="00473E8C"/>
    <w:rsid w:val="00487648"/>
    <w:rsid w:val="004D3FB3"/>
    <w:rsid w:val="004E7868"/>
    <w:rsid w:val="005B300F"/>
    <w:rsid w:val="005F01EB"/>
    <w:rsid w:val="00604D06"/>
    <w:rsid w:val="007C5A46"/>
    <w:rsid w:val="00806242"/>
    <w:rsid w:val="0088766A"/>
    <w:rsid w:val="0089369C"/>
    <w:rsid w:val="008E1EF7"/>
    <w:rsid w:val="00907AF2"/>
    <w:rsid w:val="00936780"/>
    <w:rsid w:val="00950ABD"/>
    <w:rsid w:val="00972878"/>
    <w:rsid w:val="009756ED"/>
    <w:rsid w:val="009872BD"/>
    <w:rsid w:val="009C2462"/>
    <w:rsid w:val="00A113A7"/>
    <w:rsid w:val="00A31B9B"/>
    <w:rsid w:val="00A477D4"/>
    <w:rsid w:val="00A842B4"/>
    <w:rsid w:val="00AD37FF"/>
    <w:rsid w:val="00AD6FBF"/>
    <w:rsid w:val="00B13879"/>
    <w:rsid w:val="00B27E84"/>
    <w:rsid w:val="00BC7AF8"/>
    <w:rsid w:val="00BE521E"/>
    <w:rsid w:val="00C4130E"/>
    <w:rsid w:val="00CC74ED"/>
    <w:rsid w:val="00CD5A14"/>
    <w:rsid w:val="00CD5E2B"/>
    <w:rsid w:val="00CF1348"/>
    <w:rsid w:val="00CF66D7"/>
    <w:rsid w:val="00D00C21"/>
    <w:rsid w:val="00D01B84"/>
    <w:rsid w:val="00D0598D"/>
    <w:rsid w:val="00D621B8"/>
    <w:rsid w:val="00DA3C2A"/>
    <w:rsid w:val="00E14CC6"/>
    <w:rsid w:val="00E1599D"/>
    <w:rsid w:val="00E64553"/>
    <w:rsid w:val="00EF16C0"/>
    <w:rsid w:val="00F0715B"/>
    <w:rsid w:val="00F31A8C"/>
    <w:rsid w:val="00F41E4F"/>
    <w:rsid w:val="00F45BBC"/>
    <w:rsid w:val="00FB1382"/>
    <w:rsid w:val="00FC13ED"/>
    <w:rsid w:val="00FC71D2"/>
    <w:rsid w:val="00FD4D5B"/>
    <w:rsid w:val="00FF600D"/>
    <w:rsid w:val="0152623E"/>
    <w:rsid w:val="01735689"/>
    <w:rsid w:val="019F3F91"/>
    <w:rsid w:val="039C380B"/>
    <w:rsid w:val="03CA02DB"/>
    <w:rsid w:val="03CA5B95"/>
    <w:rsid w:val="05D468D7"/>
    <w:rsid w:val="06E12731"/>
    <w:rsid w:val="070F3377"/>
    <w:rsid w:val="07112457"/>
    <w:rsid w:val="07203253"/>
    <w:rsid w:val="07B5604A"/>
    <w:rsid w:val="08A73E9D"/>
    <w:rsid w:val="09173079"/>
    <w:rsid w:val="09E87DC8"/>
    <w:rsid w:val="0ADD5869"/>
    <w:rsid w:val="0B5038A6"/>
    <w:rsid w:val="0B8516AF"/>
    <w:rsid w:val="0BA24FD0"/>
    <w:rsid w:val="0BCE7749"/>
    <w:rsid w:val="0BD45ACC"/>
    <w:rsid w:val="0D8F4AC1"/>
    <w:rsid w:val="0D9F51F7"/>
    <w:rsid w:val="0E6F029B"/>
    <w:rsid w:val="0EFA60D3"/>
    <w:rsid w:val="0FE15EF1"/>
    <w:rsid w:val="10520D5A"/>
    <w:rsid w:val="10D462BB"/>
    <w:rsid w:val="116F7851"/>
    <w:rsid w:val="11BA78AE"/>
    <w:rsid w:val="12F87BE0"/>
    <w:rsid w:val="131E6D41"/>
    <w:rsid w:val="13BF6819"/>
    <w:rsid w:val="14070DC0"/>
    <w:rsid w:val="142D20E1"/>
    <w:rsid w:val="14976280"/>
    <w:rsid w:val="17256C3B"/>
    <w:rsid w:val="184D0353"/>
    <w:rsid w:val="1AAD6D4E"/>
    <w:rsid w:val="1B4726CB"/>
    <w:rsid w:val="1BBB0870"/>
    <w:rsid w:val="1BFF5F1B"/>
    <w:rsid w:val="1C5C5F9C"/>
    <w:rsid w:val="1CB2163D"/>
    <w:rsid w:val="1CBD7112"/>
    <w:rsid w:val="1DC329F4"/>
    <w:rsid w:val="1EBE2731"/>
    <w:rsid w:val="1EFE2B72"/>
    <w:rsid w:val="1F815296"/>
    <w:rsid w:val="1F8B5EDD"/>
    <w:rsid w:val="205560AA"/>
    <w:rsid w:val="207E7588"/>
    <w:rsid w:val="20C63497"/>
    <w:rsid w:val="21943AF3"/>
    <w:rsid w:val="231C35FE"/>
    <w:rsid w:val="243C57AA"/>
    <w:rsid w:val="25592562"/>
    <w:rsid w:val="272F5F35"/>
    <w:rsid w:val="28C74D8C"/>
    <w:rsid w:val="29427847"/>
    <w:rsid w:val="2945172F"/>
    <w:rsid w:val="295C75B5"/>
    <w:rsid w:val="29C10B01"/>
    <w:rsid w:val="29DF509E"/>
    <w:rsid w:val="2B203C56"/>
    <w:rsid w:val="2E27233E"/>
    <w:rsid w:val="2E3C204E"/>
    <w:rsid w:val="2E6E3D8A"/>
    <w:rsid w:val="2E774853"/>
    <w:rsid w:val="2E952780"/>
    <w:rsid w:val="2F636394"/>
    <w:rsid w:val="2F7575E2"/>
    <w:rsid w:val="305B0F27"/>
    <w:rsid w:val="309011D2"/>
    <w:rsid w:val="30E33A63"/>
    <w:rsid w:val="31304534"/>
    <w:rsid w:val="31401601"/>
    <w:rsid w:val="31EF2228"/>
    <w:rsid w:val="32D60F99"/>
    <w:rsid w:val="32E4021D"/>
    <w:rsid w:val="33F0116C"/>
    <w:rsid w:val="34B10BB8"/>
    <w:rsid w:val="34D455C0"/>
    <w:rsid w:val="350C3550"/>
    <w:rsid w:val="35BF3E82"/>
    <w:rsid w:val="35D34729"/>
    <w:rsid w:val="368E13F7"/>
    <w:rsid w:val="36FB7ABB"/>
    <w:rsid w:val="37FD4675"/>
    <w:rsid w:val="38997293"/>
    <w:rsid w:val="396D4EF6"/>
    <w:rsid w:val="398D1EB9"/>
    <w:rsid w:val="3995250E"/>
    <w:rsid w:val="39CE051A"/>
    <w:rsid w:val="3B5C7C08"/>
    <w:rsid w:val="3C4274DB"/>
    <w:rsid w:val="3CA263FB"/>
    <w:rsid w:val="3D757CA8"/>
    <w:rsid w:val="3FCC3F7A"/>
    <w:rsid w:val="3FDB3628"/>
    <w:rsid w:val="40115344"/>
    <w:rsid w:val="405342BA"/>
    <w:rsid w:val="40AC6BA7"/>
    <w:rsid w:val="41D5380E"/>
    <w:rsid w:val="43140608"/>
    <w:rsid w:val="43470422"/>
    <w:rsid w:val="44463A1B"/>
    <w:rsid w:val="44844D7C"/>
    <w:rsid w:val="44BF381C"/>
    <w:rsid w:val="467E747D"/>
    <w:rsid w:val="47252D10"/>
    <w:rsid w:val="47D41874"/>
    <w:rsid w:val="48653F0B"/>
    <w:rsid w:val="49133ED7"/>
    <w:rsid w:val="496B05E8"/>
    <w:rsid w:val="49764E3C"/>
    <w:rsid w:val="4AEB095F"/>
    <w:rsid w:val="4AEB246B"/>
    <w:rsid w:val="4AEF650D"/>
    <w:rsid w:val="4B382D19"/>
    <w:rsid w:val="4BBF0B89"/>
    <w:rsid w:val="4C0507C1"/>
    <w:rsid w:val="4DAF66E4"/>
    <w:rsid w:val="4E0409B0"/>
    <w:rsid w:val="4E262780"/>
    <w:rsid w:val="4E6F1ADB"/>
    <w:rsid w:val="4EB307C4"/>
    <w:rsid w:val="4ECF5646"/>
    <w:rsid w:val="4F1E1447"/>
    <w:rsid w:val="4F6449E4"/>
    <w:rsid w:val="4FAA1EA8"/>
    <w:rsid w:val="4FB241F9"/>
    <w:rsid w:val="51173E6D"/>
    <w:rsid w:val="52DE165C"/>
    <w:rsid w:val="53E75F43"/>
    <w:rsid w:val="54CC0662"/>
    <w:rsid w:val="54D03F79"/>
    <w:rsid w:val="55616A9E"/>
    <w:rsid w:val="57506CF8"/>
    <w:rsid w:val="579C5004"/>
    <w:rsid w:val="5AE852B7"/>
    <w:rsid w:val="5B496E7A"/>
    <w:rsid w:val="5C18022D"/>
    <w:rsid w:val="5C61179B"/>
    <w:rsid w:val="5DBA5604"/>
    <w:rsid w:val="5E572F1F"/>
    <w:rsid w:val="5ED27331"/>
    <w:rsid w:val="60ED5AED"/>
    <w:rsid w:val="61A54EC8"/>
    <w:rsid w:val="61C94710"/>
    <w:rsid w:val="61F4391A"/>
    <w:rsid w:val="61F74F3D"/>
    <w:rsid w:val="632B12FE"/>
    <w:rsid w:val="64847515"/>
    <w:rsid w:val="64FA2E10"/>
    <w:rsid w:val="66125952"/>
    <w:rsid w:val="67CB3637"/>
    <w:rsid w:val="67F35909"/>
    <w:rsid w:val="68575162"/>
    <w:rsid w:val="69354AE2"/>
    <w:rsid w:val="6A153C71"/>
    <w:rsid w:val="6A522D91"/>
    <w:rsid w:val="6AF15D6F"/>
    <w:rsid w:val="6B855FD0"/>
    <w:rsid w:val="6BE35EE2"/>
    <w:rsid w:val="6CA16BA7"/>
    <w:rsid w:val="6CC131AC"/>
    <w:rsid w:val="6E88046E"/>
    <w:rsid w:val="6F726BB6"/>
    <w:rsid w:val="6F781ACC"/>
    <w:rsid w:val="7090323B"/>
    <w:rsid w:val="71310883"/>
    <w:rsid w:val="7185225E"/>
    <w:rsid w:val="719354CD"/>
    <w:rsid w:val="720C6100"/>
    <w:rsid w:val="72114470"/>
    <w:rsid w:val="72A610B3"/>
    <w:rsid w:val="72E335DD"/>
    <w:rsid w:val="72E82786"/>
    <w:rsid w:val="730C0463"/>
    <w:rsid w:val="74582EEF"/>
    <w:rsid w:val="747B515F"/>
    <w:rsid w:val="75A81296"/>
    <w:rsid w:val="75F32272"/>
    <w:rsid w:val="768416E0"/>
    <w:rsid w:val="76D35CFD"/>
    <w:rsid w:val="77E47B58"/>
    <w:rsid w:val="7874717D"/>
    <w:rsid w:val="7A3A3744"/>
    <w:rsid w:val="7B925500"/>
    <w:rsid w:val="7C8925DB"/>
    <w:rsid w:val="7CCD0796"/>
    <w:rsid w:val="7CDC5540"/>
    <w:rsid w:val="7D66139F"/>
    <w:rsid w:val="7F1568C6"/>
    <w:rsid w:val="7F7F298B"/>
    <w:rsid w:val="7F8363E5"/>
    <w:rsid w:val="7FE46B7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6">
    <w:name w:val="Default Paragraph Font"/>
    <w:unhideWhenUsed/>
    <w:qFormat/>
    <w:uiPriority w:val="1"/>
  </w:style>
  <w:style w:type="table" w:default="1" w:styleId="7">
    <w:name w:val="Normal Table"/>
    <w:unhideWhenUsed/>
    <w:qFormat/>
    <w:uiPriority w:val="99"/>
    <w:tblPr>
      <w:tblLayout w:type="fixed"/>
      <w:tblCellMar>
        <w:top w:w="0" w:type="dxa"/>
        <w:left w:w="108" w:type="dxa"/>
        <w:bottom w:w="0" w:type="dxa"/>
        <w:right w:w="108" w:type="dxa"/>
      </w:tblCellMar>
    </w:tblPr>
  </w:style>
  <w:style w:type="paragraph" w:styleId="2">
    <w:name w:val="Date"/>
    <w:basedOn w:val="1"/>
    <w:next w:val="1"/>
    <w:link w:val="9"/>
    <w:qFormat/>
    <w:uiPriority w:val="0"/>
    <w:pPr>
      <w:ind w:left="100" w:leftChars="2500"/>
    </w:pPr>
  </w:style>
  <w:style w:type="paragraph" w:styleId="3">
    <w:name w:val="Balloon Text"/>
    <w:basedOn w:val="1"/>
    <w:link w:val="12"/>
    <w:qFormat/>
    <w:uiPriority w:val="0"/>
    <w:rPr>
      <w:sz w:val="18"/>
      <w:szCs w:val="18"/>
    </w:rPr>
  </w:style>
  <w:style w:type="paragraph" w:styleId="4">
    <w:name w:val="footer"/>
    <w:basedOn w:val="1"/>
    <w:link w:val="10"/>
    <w:qFormat/>
    <w:uiPriority w:val="99"/>
    <w:pPr>
      <w:tabs>
        <w:tab w:val="center" w:pos="4153"/>
        <w:tab w:val="right" w:pos="8306"/>
      </w:tabs>
      <w:snapToGrid w:val="0"/>
      <w:jc w:val="left"/>
    </w:pPr>
    <w:rPr>
      <w:sz w:val="18"/>
    </w:rPr>
  </w:style>
  <w:style w:type="paragraph" w:styleId="5">
    <w:name w:val="header"/>
    <w:basedOn w:val="1"/>
    <w:link w:val="8"/>
    <w:qFormat/>
    <w:uiPriority w:val="0"/>
    <w:pPr>
      <w:pBdr>
        <w:bottom w:val="single" w:color="auto" w:sz="6" w:space="1"/>
      </w:pBdr>
      <w:tabs>
        <w:tab w:val="center" w:pos="4153"/>
        <w:tab w:val="right" w:pos="8306"/>
      </w:tabs>
      <w:snapToGrid w:val="0"/>
      <w:jc w:val="center"/>
    </w:pPr>
    <w:rPr>
      <w:sz w:val="18"/>
      <w:szCs w:val="18"/>
    </w:rPr>
  </w:style>
  <w:style w:type="character" w:customStyle="1" w:styleId="8">
    <w:name w:val="页眉 Char"/>
    <w:basedOn w:val="6"/>
    <w:link w:val="5"/>
    <w:qFormat/>
    <w:uiPriority w:val="0"/>
    <w:rPr>
      <w:rFonts w:ascii="Calibri" w:hAnsi="Calibri"/>
      <w:kern w:val="2"/>
      <w:sz w:val="18"/>
      <w:szCs w:val="18"/>
    </w:rPr>
  </w:style>
  <w:style w:type="character" w:customStyle="1" w:styleId="9">
    <w:name w:val="日期 Char"/>
    <w:basedOn w:val="6"/>
    <w:link w:val="2"/>
    <w:qFormat/>
    <w:uiPriority w:val="0"/>
    <w:rPr>
      <w:rFonts w:ascii="Calibri" w:hAnsi="Calibri"/>
      <w:kern w:val="2"/>
      <w:sz w:val="21"/>
      <w:szCs w:val="22"/>
    </w:rPr>
  </w:style>
  <w:style w:type="character" w:customStyle="1" w:styleId="10">
    <w:name w:val="页脚 Char"/>
    <w:basedOn w:val="6"/>
    <w:link w:val="4"/>
    <w:qFormat/>
    <w:uiPriority w:val="99"/>
    <w:rPr>
      <w:rFonts w:ascii="Calibri" w:hAnsi="Calibri"/>
      <w:kern w:val="2"/>
      <w:sz w:val="18"/>
      <w:szCs w:val="22"/>
    </w:rPr>
  </w:style>
  <w:style w:type="paragraph" w:customStyle="1" w:styleId="11">
    <w:name w:val="List Paragraph"/>
    <w:basedOn w:val="1"/>
    <w:qFormat/>
    <w:uiPriority w:val="99"/>
    <w:pPr>
      <w:ind w:firstLine="420" w:firstLineChars="200"/>
    </w:pPr>
  </w:style>
  <w:style w:type="character" w:customStyle="1" w:styleId="12">
    <w:name w:val="批注框文本 Char"/>
    <w:basedOn w:val="6"/>
    <w:link w:val="3"/>
    <w:qFormat/>
    <w:uiPriority w:val="0"/>
    <w:rPr>
      <w:rFonts w:ascii="Calibri" w:hAnsi="Calibri"/>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2</Pages>
  <Words>1085</Words>
  <Characters>1136</Characters>
  <Lines>8</Lines>
  <Paragraphs>2</Paragraphs>
  <TotalTime>207</TotalTime>
  <ScaleCrop>false</ScaleCrop>
  <LinksUpToDate>false</LinksUpToDate>
  <CharactersWithSpaces>1179</CharactersWithSpaces>
  <Application>WPS Office_10.8.0.6423_F1E327BC-269C-435d-A152-05C5408002CA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2021-01-19T00:53:00Z</dcterms:created>
  <dc:creator>lzjz1</dc:creator>
  <cp:lastModifiedBy>ezhou</cp:lastModifiedBy>
  <cp:lastPrinted>2021-10-18T07:45:00Z</cp:lastPrinted>
  <dcterms:modified xsi:type="dcterms:W3CDTF">2022-08-08T01:12:06Z</dcterms:modified>
  <cp:revision>27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2052-10.8.0.6423</vt:lpwstr>
  </property>
  <property fmtid="{D5CDD505-2E9C-101B-9397-08002B2CF9AE}" pid="3" name="ICV">
    <vt:lpwstr>1759B741911744148C370E5F3BE2B849</vt:lpwstr>
  </property>
</Properties>
</file>