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01.040.03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A00</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1"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2" w:name="c1"/>
            <w:r>
              <w:instrText xml:space="preserve"> FORMTEXT </w:instrText>
            </w:r>
            <w:r>
              <w:fldChar w:fldCharType="separate"/>
            </w:r>
            <w:r>
              <w:t>     </w:t>
            </w:r>
            <w:r>
              <w:fldChar w:fldCharType="end"/>
            </w:r>
            <w:bookmarkEnd w:id="2"/>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鄂州市</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1"/>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lang w:val="fr-FR"/>
        </w:rPr>
        <w:t>XX/T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pPr>
        <w:pStyle w:val="197"/>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lang w:eastAsia="zh-CN"/>
        </w:rPr>
        <w:t>鄂州市党政机关会议服务规范</w:t>
      </w:r>
      <w:r>
        <w:fldChar w:fldCharType="end"/>
      </w:r>
      <w:bookmarkEnd w:id="8"/>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lang w:val="en-US" w:eastAsia="zh-CN"/>
        </w:rPr>
        <w:t>EZhou specification for</w:t>
      </w:r>
      <w:r>
        <w:rPr>
          <w:rFonts w:eastAsia="黑体"/>
          <w:szCs w:val="28"/>
        </w:rPr>
        <w:t xml:space="preserve"> </w:t>
      </w:r>
      <w:r>
        <w:rPr>
          <w:rFonts w:hint="eastAsia" w:eastAsia="黑体"/>
          <w:szCs w:val="28"/>
          <w:lang w:val="en-US" w:eastAsia="zh-CN"/>
        </w:rPr>
        <w:t>c</w:t>
      </w:r>
      <w:r>
        <w:rPr>
          <w:rFonts w:hint="eastAsia" w:eastAsia="黑体"/>
          <w:szCs w:val="28"/>
        </w:rPr>
        <w:t>onference</w:t>
      </w:r>
      <w:r>
        <w:rPr>
          <w:rFonts w:hint="eastAsia" w:eastAsia="黑体"/>
          <w:szCs w:val="28"/>
          <w:lang w:val="en-US" w:eastAsia="zh-CN"/>
        </w:rPr>
        <w:t xml:space="preserve"> services</w:t>
      </w:r>
      <w:r>
        <w:rPr>
          <w:rFonts w:eastAsia="黑体"/>
          <w:szCs w:val="28"/>
        </w:rPr>
        <w:t xml:space="preserve"> </w:t>
      </w:r>
      <w:r>
        <w:rPr>
          <w:rFonts w:hint="eastAsia" w:eastAsia="黑体"/>
          <w:szCs w:val="28"/>
          <w:lang w:val="en-US" w:eastAsia="zh-CN"/>
        </w:rPr>
        <w:t>or</w:t>
      </w:r>
      <w:r>
        <w:rPr>
          <w:rFonts w:eastAsia="黑体"/>
          <w:szCs w:val="28"/>
        </w:rPr>
        <w:t xml:space="preserve"> </w:t>
      </w:r>
      <w:r>
        <w:rPr>
          <w:rFonts w:hint="eastAsia" w:eastAsia="黑体"/>
          <w:szCs w:val="28"/>
          <w:lang w:val="en-US" w:eastAsia="zh-CN"/>
        </w:rPr>
        <w:t>party ang government organizations</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4"/>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鄂州市市场监督管理局</w:t>
      </w:r>
      <w:r>
        <w:rPr>
          <w:rFonts w:hAnsi="黑体"/>
          <w:w w:val="100"/>
          <w:sz w:val="28"/>
        </w:rPr>
        <w:fldChar w:fldCharType="end"/>
      </w:r>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468"/>
      </w:pPr>
      <w:bookmarkStart w:id="20" w:name="BookMark1"/>
      <w:bookmarkStart w:id="21" w:name="_Toc122465426"/>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"_Toc144832100" </w:instrText>
      </w:r>
      <w:r>
        <w:fldChar w:fldCharType="separate"/>
      </w:r>
      <w:r>
        <w:rPr>
          <w:rStyle w:val="33"/>
          <w:rFonts w:hint="eastAsia"/>
        </w:rPr>
        <w:t>前言</w:t>
      </w:r>
      <w:r>
        <w:tab/>
      </w:r>
      <w:r>
        <w:fldChar w:fldCharType="begin"/>
      </w:r>
      <w:r>
        <w:instrText xml:space="preserve"> PAGEREF _Toc144832100 \h </w:instrText>
      </w:r>
      <w:r>
        <w:fldChar w:fldCharType="separate"/>
      </w:r>
      <w:r>
        <w:t>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"_Toc144832101" </w:instrText>
      </w:r>
      <w:r>
        <w:fldChar w:fldCharType="separate"/>
      </w:r>
      <w:r>
        <w:rPr>
          <w:rStyle w:val="33"/>
        </w:rPr>
        <w:t>1  范围</w:t>
      </w:r>
      <w:r>
        <w:tab/>
      </w:r>
      <w:r>
        <w:fldChar w:fldCharType="begin"/>
      </w:r>
      <w:r>
        <w:instrText xml:space="preserve"> PAGEREF _Toc144832101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"_Toc144832102" </w:instrText>
      </w:r>
      <w:r>
        <w:fldChar w:fldCharType="separate"/>
      </w:r>
      <w:r>
        <w:rPr>
          <w:rStyle w:val="33"/>
        </w:rPr>
        <w:t>2  规范性引用文件</w:t>
      </w:r>
      <w:r>
        <w:tab/>
      </w:r>
      <w:r>
        <w:fldChar w:fldCharType="begin"/>
      </w:r>
      <w:r>
        <w:instrText xml:space="preserve"> PAGEREF _Toc144832102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"_Toc144832103" </w:instrText>
      </w:r>
      <w:r>
        <w:fldChar w:fldCharType="separate"/>
      </w:r>
      <w:r>
        <w:rPr>
          <w:rStyle w:val="33"/>
        </w:rPr>
        <w:t>3  术语和定义</w:t>
      </w:r>
      <w:r>
        <w:tab/>
      </w:r>
      <w:r>
        <w:fldChar w:fldCharType="begin"/>
      </w:r>
      <w:r>
        <w:instrText xml:space="preserve"> PAGEREF _Toc144832103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"_Toc144832104" </w:instrText>
      </w:r>
      <w:r>
        <w:fldChar w:fldCharType="separate"/>
      </w:r>
      <w:r>
        <w:rPr>
          <w:rStyle w:val="33"/>
        </w:rPr>
        <w:t>4  基本要求</w:t>
      </w:r>
      <w:r>
        <w:tab/>
      </w:r>
      <w:r>
        <w:fldChar w:fldCharType="begin"/>
      </w:r>
      <w:r>
        <w:instrText xml:space="preserve"> PAGEREF _Toc144832104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"_Toc144832105" </w:instrText>
      </w:r>
      <w:r>
        <w:fldChar w:fldCharType="separate"/>
      </w:r>
      <w:r>
        <w:rPr>
          <w:rStyle w:val="33"/>
        </w:rPr>
        <w:t>5  服务内容及质量要求</w:t>
      </w:r>
      <w:r>
        <w:tab/>
      </w:r>
      <w:r>
        <w:fldChar w:fldCharType="begin"/>
      </w:r>
      <w:r>
        <w:instrText xml:space="preserve"> PAGEREF _Toc144832105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"_Toc144832106" </w:instrText>
      </w:r>
      <w:r>
        <w:fldChar w:fldCharType="separate"/>
      </w:r>
      <w:r>
        <w:rPr>
          <w:rStyle w:val="33"/>
        </w:rPr>
        <w:t xml:space="preserve">6  </w:t>
      </w:r>
      <w:r>
        <w:rPr>
          <w:rStyle w:val="33"/>
          <w:rFonts w:hint="eastAsia"/>
          <w:lang w:eastAsia="zh-CN"/>
        </w:rPr>
        <w:t>档案</w:t>
      </w:r>
      <w:r>
        <w:rPr>
          <w:rStyle w:val="33"/>
        </w:rPr>
        <w:t>管理</w:t>
      </w:r>
      <w:r>
        <w:tab/>
      </w:r>
      <w:r>
        <w:fldChar w:fldCharType="begin"/>
      </w:r>
      <w:r>
        <w:instrText xml:space="preserve"> PAGEREF _Toc144832106 \h </w:instrText>
      </w:r>
      <w:r>
        <w:fldChar w:fldCharType="separate"/>
      </w:r>
      <w:r>
        <w:t>6</w:t>
      </w:r>
      <w:r>
        <w:fldChar w:fldCharType="end"/>
      </w:r>
      <w:r>
        <w:fldChar w:fldCharType="end"/>
      </w:r>
    </w:p>
    <w:p>
      <w:pPr>
        <w:pStyle w:val="20"/>
        <w:tabs>
          <w:tab w:val="right" w:leader="dot" w:pos="9344"/>
        </w:tabs>
        <w:rPr>
          <w:rFonts w:hint="eastAsia" w:eastAsia="宋体" w:asciiTheme="minorHAnsi" w:hAnsiTheme="minorHAnsi" w:cstheme="minorBidi"/>
          <w:szCs w:val="22"/>
          <w:lang w:val="en-US" w:eastAsia="zh-CN"/>
        </w:rPr>
      </w:pPr>
      <w:r>
        <w:fldChar w:fldCharType="begin"/>
      </w:r>
      <w:r>
        <w:instrText xml:space="preserve"> HYPERLINK \l "_Toc144832107" </w:instrText>
      </w:r>
      <w:r>
        <w:fldChar w:fldCharType="separate"/>
      </w:r>
      <w:r>
        <w:rPr>
          <w:rStyle w:val="33"/>
        </w:rPr>
        <w:t xml:space="preserve">7  </w:t>
      </w:r>
      <w:r>
        <w:rPr>
          <w:rStyle w:val="33"/>
          <w:rFonts w:hint="eastAsia"/>
          <w:lang w:eastAsia="zh-CN"/>
        </w:rPr>
        <w:t>设施设备</w:t>
      </w:r>
      <w:r>
        <w:rPr>
          <w:rStyle w:val="33"/>
        </w:rPr>
        <w:t>管理</w:t>
      </w:r>
      <w:r>
        <w:tab/>
      </w:r>
      <w:r>
        <w:fldChar w:fldCharType="end"/>
      </w:r>
      <w:r>
        <w:rPr>
          <w:rFonts w:hint="eastAsia"/>
          <w:lang w:val="en-US" w:eastAsia="zh-CN"/>
        </w:rPr>
        <w:t>6</w:t>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"_Toc144832108" </w:instrText>
      </w:r>
      <w:r>
        <w:fldChar w:fldCharType="separate"/>
      </w:r>
      <w:r>
        <w:rPr>
          <w:rStyle w:val="33"/>
        </w:rPr>
        <w:t xml:space="preserve">8 </w:t>
      </w:r>
      <w:r>
        <w:rPr>
          <w:rStyle w:val="33"/>
          <w:rFonts w:hint="eastAsia"/>
          <w:lang w:val="en-US" w:eastAsia="zh-CN"/>
        </w:rPr>
        <w:t xml:space="preserve"> </w:t>
      </w:r>
      <w:r>
        <w:rPr>
          <w:rStyle w:val="33"/>
          <w:rFonts w:hint="eastAsia"/>
          <w:lang w:eastAsia="zh-CN"/>
        </w:rPr>
        <w:t>应急</w:t>
      </w:r>
      <w:r>
        <w:rPr>
          <w:rStyle w:val="33"/>
        </w:rPr>
        <w:t>管理</w:t>
      </w:r>
      <w:r>
        <w:tab/>
      </w:r>
      <w:r>
        <w:rPr>
          <w:rFonts w:hint="eastAsia"/>
          <w:lang w:val="en-US" w:eastAsia="zh-CN"/>
        </w:rPr>
        <w:t>7</w:t>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"_Toc144832109" </w:instrText>
      </w:r>
      <w:r>
        <w:fldChar w:fldCharType="separate"/>
      </w:r>
      <w:r>
        <w:rPr>
          <w:rStyle w:val="33"/>
        </w:rPr>
        <w:t xml:space="preserve">9  </w:t>
      </w:r>
      <w:r>
        <w:rPr>
          <w:rStyle w:val="33"/>
          <w:rFonts w:hint="eastAsia"/>
          <w:lang w:eastAsia="zh-CN"/>
        </w:rPr>
        <w:t>安全保密管理</w:t>
      </w:r>
      <w:r>
        <w:tab/>
      </w:r>
      <w:r>
        <w:rPr>
          <w:rFonts w:hint="eastAsia"/>
          <w:lang w:val="en-US" w:eastAsia="zh-CN"/>
        </w:rPr>
        <w:t>9</w:t>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"_Toc144832110" </w:instrText>
      </w:r>
      <w:r>
        <w:fldChar w:fldCharType="separate"/>
      </w:r>
      <w:r>
        <w:rPr>
          <w:rStyle w:val="33"/>
        </w:rPr>
        <w:t xml:space="preserve">10  </w:t>
      </w:r>
      <w:r>
        <w:rPr>
          <w:rStyle w:val="33"/>
          <w:rFonts w:hint="eastAsia"/>
          <w:lang w:eastAsia="zh-CN"/>
        </w:rPr>
        <w:t>服务评价与改进</w:t>
      </w:r>
      <w:r>
        <w:tab/>
      </w:r>
      <w:r>
        <w:rPr>
          <w:rFonts w:hint="eastAsia"/>
          <w:lang w:val="en-US" w:eastAsia="zh-CN"/>
        </w:rPr>
        <w:t>9</w:t>
      </w:r>
      <w:r>
        <w:fldChar w:fldCharType="end"/>
      </w:r>
    </w:p>
    <w:p>
      <w:pPr>
        <w:pStyle w:val="20"/>
        <w:tabs>
          <w:tab w:val="right" w:leader="dot" w:pos="9344"/>
        </w:tabs>
        <w:rPr>
          <w:rFonts w:hint="default" w:eastAsia="宋体"/>
          <w:lang w:val="en-US" w:eastAsia="zh-CN"/>
        </w:rPr>
      </w:pPr>
      <w:r>
        <w:rPr>
          <w:rFonts w:hint="eastAsia"/>
          <w:lang w:val="en" w:eastAsia="zh-CN"/>
        </w:rPr>
        <w:t>附录</w:t>
      </w:r>
      <w:r>
        <w:rPr>
          <w:rFonts w:hint="eastAsia"/>
          <w:lang w:val="en-US" w:eastAsia="zh-CN"/>
        </w:rPr>
        <w:t>A（资料性）  会议预定申报审批表</w:t>
      </w:r>
      <w:r>
        <w:tab/>
      </w:r>
      <w:r>
        <w:rPr>
          <w:rFonts w:hint="eastAsia"/>
          <w:lang w:val="en-US" w:eastAsia="zh-CN"/>
        </w:rPr>
        <w:t>11</w:t>
      </w:r>
    </w:p>
    <w:p>
      <w:pPr>
        <w:pStyle w:val="20"/>
        <w:tabs>
          <w:tab w:val="right" w:leader="dot" w:pos="9344"/>
        </w:tabs>
        <w:rPr>
          <w:rFonts w:hint="default"/>
          <w:lang w:val="en-US" w:eastAsia="zh-CN"/>
        </w:rPr>
      </w:pPr>
      <w:r>
        <w:rPr>
          <w:rFonts w:hint="eastAsia"/>
          <w:lang w:val="en" w:eastAsia="zh-CN"/>
        </w:rPr>
        <w:t>附录</w:t>
      </w:r>
      <w:r>
        <w:rPr>
          <w:rFonts w:hint="eastAsia"/>
          <w:lang w:val="en-US" w:eastAsia="zh-CN"/>
        </w:rPr>
        <w:t>B（资料性）  会前服务工作清单</w:t>
      </w:r>
      <w:r>
        <w:tab/>
      </w:r>
      <w:r>
        <w:rPr>
          <w:rFonts w:hint="default"/>
          <w:lang w:val="en" w:eastAsia="zh-CN"/>
        </w:rPr>
        <w:t>1</w:t>
      </w:r>
      <w:r>
        <w:rPr>
          <w:rFonts w:hint="eastAsia"/>
          <w:lang w:val="en-US" w:eastAsia="zh-CN"/>
        </w:rPr>
        <w:t>2</w:t>
      </w:r>
    </w:p>
    <w:p>
      <w:pPr>
        <w:pStyle w:val="20"/>
        <w:tabs>
          <w:tab w:val="right" w:leader="dot" w:pos="9344"/>
        </w:tabs>
        <w:rPr>
          <w:rFonts w:hint="default" w:eastAsia="宋体"/>
          <w:lang w:val="en-US" w:eastAsia="zh-CN"/>
        </w:rPr>
      </w:pPr>
      <w:r>
        <w:rPr>
          <w:rFonts w:hint="eastAsia"/>
          <w:lang w:val="en" w:eastAsia="zh-CN"/>
        </w:rPr>
        <w:t>附录</w:t>
      </w:r>
      <w:r>
        <w:rPr>
          <w:rFonts w:hint="eastAsia"/>
          <w:lang w:val="en-US" w:eastAsia="zh-CN"/>
        </w:rPr>
        <w:t>C（资料性）  会场布置要求</w:t>
      </w:r>
      <w:r>
        <w:tab/>
      </w:r>
      <w:r>
        <w:rPr>
          <w:rFonts w:hint="eastAsia"/>
          <w:lang w:val="en-US" w:eastAsia="zh-CN"/>
        </w:rPr>
        <w:t>13</w:t>
      </w:r>
    </w:p>
    <w:p>
      <w:pPr>
        <w:pStyle w:val="20"/>
        <w:tabs>
          <w:tab w:val="right" w:leader="dot" w:pos="9344"/>
        </w:tabs>
        <w:rPr>
          <w:rFonts w:hint="default"/>
          <w:lang w:val="en-US" w:eastAsia="zh-CN"/>
        </w:rPr>
      </w:pPr>
      <w:r>
        <w:rPr>
          <w:rFonts w:hint="eastAsia"/>
          <w:lang w:val="en" w:eastAsia="zh-CN"/>
        </w:rPr>
        <w:t>附录</w:t>
      </w:r>
      <w:r>
        <w:rPr>
          <w:rFonts w:hint="eastAsia"/>
          <w:lang w:val="en-US" w:eastAsia="zh-CN"/>
        </w:rPr>
        <w:t>D（资料性）  会议遗漏物品登记确认表</w:t>
      </w:r>
      <w:r>
        <w:tab/>
      </w:r>
      <w:r>
        <w:rPr>
          <w:rFonts w:hint="default"/>
          <w:lang w:val="en" w:eastAsia="zh-CN"/>
        </w:rPr>
        <w:t>1</w:t>
      </w:r>
      <w:r>
        <w:rPr>
          <w:rFonts w:hint="eastAsia"/>
          <w:lang w:val="en-US" w:eastAsia="zh-CN"/>
        </w:rPr>
        <w:t>5</w:t>
      </w:r>
    </w:p>
    <w:p>
      <w:pPr>
        <w:pStyle w:val="20"/>
        <w:tabs>
          <w:tab w:val="right" w:leader="dot" w:pos="9344"/>
        </w:tabs>
        <w:rPr>
          <w:rFonts w:hint="default" w:eastAsia="宋体"/>
          <w:lang w:val="en-US" w:eastAsia="zh-CN"/>
        </w:rPr>
      </w:pPr>
      <w:r>
        <w:rPr>
          <w:rFonts w:hint="eastAsia"/>
          <w:lang w:val="en" w:eastAsia="zh-CN"/>
        </w:rPr>
        <w:t>附录</w:t>
      </w:r>
      <w:r>
        <w:rPr>
          <w:rFonts w:hint="eastAsia"/>
          <w:lang w:val="en-US" w:eastAsia="zh-CN"/>
        </w:rPr>
        <w:t>E（资料性）  会议用品管理要求</w:t>
      </w:r>
      <w:r>
        <w:tab/>
      </w:r>
      <w:r>
        <w:rPr>
          <w:rFonts w:hint="eastAsia"/>
          <w:lang w:val="en-US" w:eastAsia="zh-CN"/>
        </w:rPr>
        <w:t>16</w:t>
      </w:r>
    </w:p>
    <w:p>
      <w:pPr>
        <w:pStyle w:val="20"/>
        <w:tabs>
          <w:tab w:val="right" w:leader="dot" w:pos="9344"/>
        </w:tabs>
        <w:rPr>
          <w:rFonts w:hint="default"/>
          <w:lang w:val="en-US" w:eastAsia="zh-CN"/>
        </w:rPr>
      </w:pPr>
      <w:r>
        <w:rPr>
          <w:rFonts w:hint="eastAsia"/>
          <w:lang w:val="en" w:eastAsia="zh-CN"/>
        </w:rPr>
        <w:t>附录</w:t>
      </w:r>
      <w:r>
        <w:rPr>
          <w:rFonts w:hint="eastAsia"/>
          <w:lang w:val="en-US" w:eastAsia="zh-CN"/>
        </w:rPr>
        <w:t>F（规范性）  会务服务满意度评价表</w:t>
      </w:r>
      <w:r>
        <w:tab/>
      </w:r>
      <w:r>
        <w:rPr>
          <w:rFonts w:hint="default"/>
          <w:lang w:val="en" w:eastAsia="zh-CN"/>
        </w:rPr>
        <w:t>1</w:t>
      </w:r>
      <w:r>
        <w:rPr>
          <w:rFonts w:hint="eastAsia"/>
          <w:lang w:val="en-US" w:eastAsia="zh-CN"/>
        </w:rPr>
        <w:t>7</w:t>
      </w:r>
    </w:p>
    <w:p>
      <w:pPr>
        <w:pStyle w:val="20"/>
        <w:tabs>
          <w:tab w:val="right" w:leader="dot" w:pos="9344"/>
        </w:tabs>
        <w:rPr>
          <w:rFonts w:hint="default" w:eastAsia="宋体"/>
          <w:lang w:val="en-US" w:eastAsia="zh-CN"/>
        </w:rPr>
      </w:pPr>
      <w:r>
        <w:rPr>
          <w:rFonts w:hint="eastAsia"/>
          <w:lang w:val="en" w:eastAsia="zh-CN"/>
        </w:rPr>
        <w:t>附录</w:t>
      </w:r>
      <w:r>
        <w:rPr>
          <w:rFonts w:hint="eastAsia"/>
          <w:lang w:val="en-US" w:eastAsia="zh-CN"/>
        </w:rPr>
        <w:t>G（资料性）  会议服务意见反馈表</w:t>
      </w:r>
      <w:r>
        <w:tab/>
      </w:r>
      <w:r>
        <w:rPr>
          <w:rFonts w:hint="eastAsia"/>
          <w:lang w:val="en-US" w:eastAsia="zh-CN"/>
        </w:rPr>
        <w:t>18</w:t>
      </w:r>
    </w:p>
    <w:p>
      <w:pPr>
        <w:pStyle w:val="20"/>
        <w:tabs>
          <w:tab w:val="right" w:leader="dot" w:pos="9344"/>
        </w:tabs>
        <w:rPr>
          <w:rFonts w:hint="default"/>
          <w:lang w:val="en" w:eastAsia="zh-CN"/>
        </w:rPr>
      </w:pPr>
      <w:r>
        <w:rPr>
          <w:rFonts w:hint="eastAsia"/>
          <w:lang w:eastAsia="zh-CN"/>
        </w:rPr>
        <w:t>参考文献</w:t>
      </w:r>
      <w:r>
        <w:tab/>
      </w:r>
      <w:r>
        <w:rPr>
          <w:rFonts w:hint="default"/>
          <w:lang w:val="en" w:eastAsia="zh-CN"/>
        </w:rPr>
        <w:t>1</w:t>
      </w:r>
      <w:r>
        <w:rPr>
          <w:rFonts w:hint="eastAsia"/>
          <w:lang w:val="en-US" w:eastAsia="zh-CN"/>
        </w:rPr>
        <w:t>9</w:t>
      </w:r>
    </w:p>
    <w:p>
      <w:pPr>
        <w:pStyle w:val="92"/>
        <w:spacing w:after="468"/>
        <w:jc w:val="both"/>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0"/>
    <w:p>
      <w:pPr>
        <w:pStyle w:val="90"/>
        <w:spacing w:after="468"/>
      </w:pPr>
      <w:bookmarkStart w:id="22" w:name="_Toc144832100"/>
      <w:bookmarkStart w:id="23" w:name="BookMark2"/>
      <w:r>
        <w:rPr>
          <w:spacing w:val="320"/>
        </w:rPr>
        <w:t>前</w:t>
      </w:r>
      <w:r>
        <w:t>言</w:t>
      </w:r>
      <w:bookmarkEnd w:id="21"/>
      <w:bookmarkEnd w:id="22"/>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本文件由鄂州市机关事务服务中心提出并归口。</w:t>
      </w:r>
    </w:p>
    <w:p>
      <w:pPr>
        <w:pStyle w:val="57"/>
        <w:ind w:firstLine="420"/>
      </w:pPr>
      <w:r>
        <w:rPr>
          <w:rFonts w:hint="eastAsia"/>
        </w:rPr>
        <w:t>本文件起草单位：鄂州市机关事务服务中心会务科。</w:t>
      </w:r>
    </w:p>
    <w:p>
      <w:pPr>
        <w:pStyle w:val="57"/>
        <w:ind w:firstLine="420"/>
      </w:pPr>
      <w:r>
        <w:rPr>
          <w:rFonts w:hint="eastAsia"/>
        </w:rPr>
        <w:t>本文件主要起草人：</w:t>
      </w:r>
    </w:p>
    <w:p>
      <w:pPr>
        <w:pStyle w:val="57"/>
        <w:ind w:firstLine="420"/>
      </w:pPr>
    </w:p>
    <w:p>
      <w:pPr>
        <w:pStyle w:val="57"/>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C6EBB74108DA4A809DBB81848EFC11AD"/>
        </w:placeholder>
      </w:sdtPr>
      <w:sdtContent>
        <w:p>
          <w:pPr>
            <w:pStyle w:val="178"/>
            <w:bidi w:val="0"/>
            <w:spacing w:before="313" w:beforeLines="100" w:after="687" w:afterLines="220"/>
          </w:pPr>
          <w:bookmarkStart w:id="25" w:name="NEW_STAND_NAME"/>
          <w:r>
            <w:rPr>
              <w:rFonts w:hint="eastAsia"/>
              <w:lang w:eastAsia="zh-CN"/>
            </w:rPr>
            <w:t>鄂州市党政机关会议服务规范</w:t>
          </w:r>
        </w:p>
      </w:sdtContent>
    </w:sdt>
    <w:bookmarkEnd w:id="25"/>
    <w:p>
      <w:pPr>
        <w:pStyle w:val="105"/>
        <w:spacing w:before="312" w:after="312"/>
      </w:pPr>
      <w:bookmarkStart w:id="26" w:name="_Toc144832101"/>
      <w:bookmarkStart w:id="27" w:name="_Toc26648465"/>
      <w:bookmarkStart w:id="28" w:name="_Toc97191423"/>
      <w:bookmarkStart w:id="29" w:name="_Toc17233333"/>
      <w:bookmarkStart w:id="30" w:name="_Toc24884218"/>
      <w:bookmarkStart w:id="31" w:name="_Toc26718930"/>
      <w:bookmarkStart w:id="32" w:name="_Toc122462194"/>
      <w:bookmarkStart w:id="33" w:name="_Toc122462203"/>
      <w:bookmarkStart w:id="34" w:name="_Toc122465427"/>
      <w:bookmarkStart w:id="35" w:name="_Toc26986530"/>
      <w:bookmarkStart w:id="36" w:name="_Toc24884211"/>
      <w:bookmarkStart w:id="37" w:name="_Toc26986771"/>
      <w:bookmarkStart w:id="38" w:name="_Toc1723332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p>
    <w:p>
      <w:pPr>
        <w:pStyle w:val="57"/>
        <w:ind w:firstLine="420"/>
      </w:pPr>
      <w:bookmarkStart w:id="39" w:name="_Toc17233334"/>
      <w:bookmarkStart w:id="40" w:name="_Toc17233326"/>
      <w:bookmarkStart w:id="41" w:name="_Toc24884212"/>
      <w:bookmarkStart w:id="42" w:name="_Toc24884219"/>
      <w:bookmarkStart w:id="43" w:name="_Toc26648466"/>
      <w:r>
        <w:rPr>
          <w:rFonts w:hint="eastAsia"/>
        </w:rPr>
        <w:t>本文件规定了党政机关会议服务的术语和定义、基本要求、服务内容及质量要求、组织管理、岗位管理、信息与档案管理、设施设备管理、安全与应急和服务评价与改进。</w:t>
      </w:r>
    </w:p>
    <w:p>
      <w:pPr>
        <w:pStyle w:val="57"/>
        <w:ind w:firstLine="420"/>
      </w:pPr>
      <w:r>
        <w:rPr>
          <w:rFonts w:hint="eastAsia"/>
        </w:rPr>
        <w:t>本文件适用于鄂州市党政机关会议服务，其他形式的会议服务亦可参照执行。</w:t>
      </w:r>
    </w:p>
    <w:p>
      <w:pPr>
        <w:pStyle w:val="105"/>
        <w:spacing w:before="312" w:after="312"/>
      </w:pPr>
      <w:bookmarkStart w:id="44" w:name="_Toc26718931"/>
      <w:bookmarkStart w:id="45" w:name="_Toc97191424"/>
      <w:bookmarkStart w:id="46" w:name="_Toc26986531"/>
      <w:bookmarkStart w:id="47" w:name="_Toc122462204"/>
      <w:bookmarkStart w:id="48" w:name="_Toc122462195"/>
      <w:bookmarkStart w:id="49" w:name="_Toc144832102"/>
      <w:bookmarkStart w:id="50" w:name="_Toc122465428"/>
      <w:bookmarkStart w:id="51" w:name="_Toc26986772"/>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F28C475969A045A0859DAE53A94A3BC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本文件没有规范性引用文件。</w:t>
          </w:r>
        </w:p>
      </w:sdtContent>
    </w:sdt>
    <w:p>
      <w:pPr>
        <w:pStyle w:val="105"/>
        <w:spacing w:before="312" w:after="312"/>
      </w:pPr>
      <w:bookmarkStart w:id="52" w:name="_Toc144832103"/>
      <w:bookmarkStart w:id="53" w:name="_Toc122462205"/>
      <w:bookmarkStart w:id="54" w:name="_Toc122465429"/>
      <w:bookmarkStart w:id="55" w:name="_Toc97191425"/>
      <w:bookmarkStart w:id="56" w:name="_Toc122462196"/>
      <w:r>
        <w:rPr>
          <w:rFonts w:hint="eastAsia"/>
          <w:szCs w:val="21"/>
        </w:rPr>
        <w:t>术语和定义</w:t>
      </w:r>
      <w:bookmarkEnd w:id="52"/>
      <w:bookmarkEnd w:id="53"/>
      <w:bookmarkEnd w:id="54"/>
      <w:bookmarkEnd w:id="55"/>
      <w:bookmarkEnd w:id="56"/>
    </w:p>
    <w:sdt>
      <w:sdtPr>
        <w:id w:val="-1909835108"/>
        <w:placeholder>
          <w:docPart w:val="227777D746D4417DB703296CE8B369A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57" w:name="_Toc26986532"/>
          <w:bookmarkEnd w:id="57"/>
          <w:r>
            <w:t>下列术语和定义适用于本文件。</w:t>
          </w:r>
        </w:p>
      </w:sdtContent>
    </w:sdt>
    <w:p>
      <w:pPr>
        <w:pStyle w:val="163"/>
        <w:spacing w:before="156" w:beforeLines="50" w:after="156" w:afterLines="50"/>
      </w:pPr>
      <w:r>
        <w:rPr>
          <w:rFonts w:hint="eastAsia" w:ascii="黑体" w:hAnsi="黑体" w:eastAsia="黑体"/>
        </w:rPr>
        <w:t>会议</w:t>
      </w:r>
    </w:p>
    <w:p>
      <w:pPr>
        <w:pStyle w:val="163"/>
        <w:numPr>
          <w:ilvl w:val="0"/>
          <w:numId w:val="0"/>
        </w:numPr>
        <w:ind w:firstLine="420" w:firstLineChars="200"/>
      </w:pPr>
      <w:r>
        <w:rPr>
          <w:rFonts w:hint="eastAsia"/>
        </w:rPr>
        <w:t>在特定的时间和空间，通过发言、讨论、演示、商议、表决等多种形式以达到议事协调、交流信息、传播知识、推介联络等目的的一定人数的群体活动。</w:t>
      </w:r>
    </w:p>
    <w:p>
      <w:pPr>
        <w:pStyle w:val="163"/>
        <w:spacing w:before="156" w:beforeLines="50" w:after="156" w:afterLines="50"/>
        <w:rPr>
          <w:rFonts w:ascii="黑体" w:hAnsi="黑体" w:eastAsia="黑体"/>
        </w:rPr>
      </w:pPr>
      <w:r>
        <w:rPr>
          <w:rFonts w:hint="eastAsia" w:ascii="黑体" w:hAnsi="黑体" w:eastAsia="黑体"/>
        </w:rPr>
        <w:t>党政机关会议</w:t>
      </w:r>
    </w:p>
    <w:p>
      <w:pPr>
        <w:pStyle w:val="163"/>
        <w:numPr>
          <w:ilvl w:val="0"/>
          <w:numId w:val="0"/>
        </w:numPr>
        <w:ind w:firstLine="420" w:firstLineChars="200"/>
      </w:pPr>
      <w:r>
        <w:rPr>
          <w:rFonts w:hint="eastAsia"/>
        </w:rPr>
        <w:t>党的机关、人大机关、行政机关、政协机关、监察机关、审判机关、检察机关，及参照公务员法管理的事业单位主办的会议。</w:t>
      </w:r>
    </w:p>
    <w:p>
      <w:pPr>
        <w:pStyle w:val="105"/>
        <w:spacing w:before="312" w:after="312"/>
      </w:pPr>
      <w:bookmarkStart w:id="58" w:name="_Toc144832104"/>
      <w:r>
        <w:rPr>
          <w:rFonts w:hint="eastAsia"/>
        </w:rPr>
        <w:t>基本要求</w:t>
      </w:r>
      <w:bookmarkEnd w:id="58"/>
    </w:p>
    <w:p>
      <w:pPr>
        <w:pStyle w:val="163"/>
      </w:pPr>
      <w:r>
        <w:rPr>
          <w:rFonts w:hint="eastAsia" w:ascii="黑体" w:hAnsi="黑体" w:eastAsia="黑体"/>
        </w:rPr>
        <w:t>服务机构</w:t>
      </w:r>
    </w:p>
    <w:p>
      <w:pPr>
        <w:pStyle w:val="163"/>
        <w:numPr>
          <w:ilvl w:val="0"/>
          <w:numId w:val="0"/>
        </w:numPr>
        <w:spacing w:before="156" w:beforeLines="50" w:after="156" w:afterLines="50"/>
      </w:pPr>
      <w:r>
        <w:rPr>
          <w:rFonts w:hint="eastAsia"/>
        </w:rPr>
        <w:t xml:space="preserve">    应具有党政机关会议定点场所资格。</w:t>
      </w:r>
    </w:p>
    <w:p>
      <w:pPr>
        <w:pStyle w:val="163"/>
        <w:spacing w:before="156" w:beforeLines="50" w:after="156" w:afterLines="50"/>
        <w:rPr>
          <w:rFonts w:ascii="黑体" w:hAnsi="黑体" w:eastAsia="黑体"/>
        </w:rPr>
      </w:pPr>
      <w:r>
        <w:rPr>
          <w:rFonts w:hint="eastAsia" w:ascii="黑体" w:hAnsi="黑体" w:eastAsia="黑体"/>
        </w:rPr>
        <w:t>制度建设</w:t>
      </w:r>
    </w:p>
    <w:p>
      <w:pPr>
        <w:pStyle w:val="163"/>
        <w:numPr>
          <w:ilvl w:val="0"/>
          <w:numId w:val="0"/>
        </w:numPr>
        <w:spacing w:before="156" w:beforeLines="50" w:after="156" w:afterLines="50"/>
      </w:pPr>
      <w:r>
        <w:rPr>
          <w:rFonts w:hint="eastAsia"/>
        </w:rPr>
        <w:t xml:space="preserve">    应建立目标管理、会议接待、礼宾服务培训、设施设备管理、安全管理、信息与档案管理、财务管理等规章制度。</w:t>
      </w:r>
    </w:p>
    <w:p>
      <w:pPr>
        <w:pStyle w:val="163"/>
        <w:spacing w:before="156" w:beforeLines="50" w:after="156" w:afterLines="50"/>
        <w:rPr>
          <w:rFonts w:hint="eastAsia" w:ascii="黑体" w:hAnsi="黑体" w:eastAsia="黑体"/>
          <w:lang w:val="en-US" w:eastAsia="zh-CN"/>
        </w:rPr>
      </w:pPr>
      <w:r>
        <w:rPr>
          <w:rFonts w:hint="eastAsia" w:ascii="黑体" w:hAnsi="黑体" w:eastAsia="黑体"/>
          <w:lang w:val="en-US" w:eastAsia="zh-CN"/>
        </w:rPr>
        <w:t>人员要求</w:t>
      </w:r>
    </w:p>
    <w:p>
      <w:pPr>
        <w:pStyle w:val="166"/>
        <w:spacing w:before="156" w:beforeLines="50" w:after="156" w:afterLines="5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应配备会议负责人，负责工作对接、会议监管和设备管理等。</w:t>
      </w:r>
    </w:p>
    <w:p>
      <w:pPr>
        <w:pStyle w:val="166"/>
        <w:spacing w:before="156" w:beforeLines="50" w:after="156" w:afterLines="5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根据会议服务岗位的需要配置相应的专职人员，会议服务人员身体健康状况、年龄、文化水平、工作经验、政治面貌、外在形象、沟通应变能力等条件应符合岗位需求。根据不同等级会议，设置不同服务岗位的人数及要求。</w:t>
      </w:r>
    </w:p>
    <w:p>
      <w:pPr>
        <w:pStyle w:val="166"/>
        <w:spacing w:before="156" w:beforeLines="50" w:after="156" w:afterLines="5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会议服务人员上岗前接受系统培训，宜通过聘请专业培训机构进行培训，组织内部指导实训或定期进行实操检验、考核等，培训内容应包括但不限于以下方面:</w:t>
      </w:r>
    </w:p>
    <w:p>
      <w:pPr>
        <w:pStyle w:val="133"/>
        <w:rPr>
          <w:rFonts w:hint="eastAsia" w:ascii="宋体" w:eastAsia="宋体"/>
          <w:lang w:val="en-US" w:eastAsia="zh-CN"/>
        </w:rPr>
      </w:pPr>
      <w:r>
        <w:rPr>
          <w:rFonts w:hint="eastAsia" w:ascii="宋体" w:eastAsia="宋体"/>
          <w:lang w:val="en-US" w:eastAsia="zh-CN"/>
        </w:rPr>
        <w:t>服务理念和组织文化:</w:t>
      </w:r>
    </w:p>
    <w:p>
      <w:pPr>
        <w:pStyle w:val="133"/>
        <w:bidi w:val="0"/>
        <w:rPr>
          <w:rFonts w:hint="eastAsia"/>
          <w:lang w:val="en-US" w:eastAsia="zh-CN"/>
        </w:rPr>
      </w:pPr>
      <w:r>
        <w:rPr>
          <w:rFonts w:hint="eastAsia"/>
          <w:lang w:val="en-US" w:eastAsia="zh-CN"/>
        </w:rPr>
        <w:t>会议服务和管理的基本理论知识及实操训练;</w:t>
      </w:r>
    </w:p>
    <w:p>
      <w:pPr>
        <w:pStyle w:val="133"/>
        <w:rPr>
          <w:rFonts w:hint="eastAsia" w:ascii="宋体" w:eastAsia="宋体"/>
          <w:lang w:val="en-US" w:eastAsia="zh-CN"/>
        </w:rPr>
      </w:pPr>
      <w:r>
        <w:rPr>
          <w:rFonts w:hint="eastAsia" w:ascii="宋体" w:eastAsia="宋体"/>
          <w:lang w:val="en-US" w:eastAsia="zh-CN"/>
        </w:rPr>
        <w:t>会议服务的安全保密管理制度;</w:t>
      </w:r>
    </w:p>
    <w:p>
      <w:pPr>
        <w:pStyle w:val="133"/>
        <w:rPr>
          <w:rFonts w:hint="eastAsia" w:ascii="宋体" w:eastAsia="宋体"/>
          <w:lang w:eastAsia="zh-CN"/>
        </w:rPr>
      </w:pPr>
      <w:r>
        <w:rPr>
          <w:rFonts w:hint="eastAsia" w:ascii="宋体" w:eastAsia="宋体"/>
        </w:rPr>
        <w:t>会议服务人员的仪容仪表仪态</w:t>
      </w:r>
      <w:r>
        <w:rPr>
          <w:rFonts w:hint="eastAsia" w:ascii="宋体" w:eastAsia="宋体"/>
          <w:lang w:val="en-US" w:eastAsia="zh-CN"/>
        </w:rPr>
        <w:t>;</w:t>
      </w:r>
    </w:p>
    <w:p>
      <w:pPr>
        <w:pStyle w:val="133"/>
        <w:rPr>
          <w:rFonts w:hint="eastAsia" w:ascii="宋体" w:eastAsia="宋体"/>
          <w:lang w:val="en-US" w:eastAsia="zh-CN"/>
        </w:rPr>
      </w:pPr>
      <w:r>
        <w:rPr>
          <w:rFonts w:hint="eastAsia" w:ascii="宋体" w:eastAsia="宋体"/>
          <w:lang w:val="en-US" w:eastAsia="zh-CN"/>
        </w:rPr>
        <w:t>会议服务突发事件的应急处置;</w:t>
      </w:r>
    </w:p>
    <w:p>
      <w:pPr>
        <w:pStyle w:val="133"/>
        <w:rPr>
          <w:rFonts w:hint="eastAsia" w:ascii="宋体" w:eastAsia="宋体"/>
          <w:lang w:val="en-US" w:eastAsia="zh-CN"/>
        </w:rPr>
      </w:pPr>
      <w:r>
        <w:rPr>
          <w:rFonts w:hint="eastAsia" w:ascii="宋体" w:eastAsia="宋体"/>
          <w:lang w:val="en-US" w:eastAsia="zh-CN"/>
        </w:rPr>
        <w:t>会议室布置及相关设施设备的使用操作技能。</w:t>
      </w:r>
    </w:p>
    <w:p>
      <w:pPr>
        <w:pStyle w:val="166"/>
        <w:spacing w:before="156" w:beforeLines="50" w:after="156" w:afterLines="5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会议服务人员应接受</w:t>
      </w:r>
      <w:r>
        <w:rPr>
          <w:rFonts w:hint="eastAsia" w:cs="Times New Roman"/>
          <w:sz w:val="21"/>
          <w:lang w:val="en-US" w:eastAsia="zh-CN" w:bidi="ar-SA"/>
        </w:rPr>
        <w:t>会议保障</w:t>
      </w:r>
      <w:r>
        <w:rPr>
          <w:rFonts w:hint="eastAsia" w:ascii="宋体" w:hAnsi="Times New Roman" w:eastAsia="宋体" w:cs="Times New Roman"/>
          <w:sz w:val="21"/>
          <w:lang w:val="en-US" w:eastAsia="zh-CN" w:bidi="ar-SA"/>
        </w:rPr>
        <w:t>单位审查，会议服务人员应做到但不限于以下要求:</w:t>
      </w:r>
    </w:p>
    <w:p>
      <w:pPr>
        <w:pStyle w:val="133"/>
        <w:rPr>
          <w:rFonts w:hint="eastAsia" w:ascii="宋体" w:eastAsia="宋体"/>
        </w:rPr>
      </w:pPr>
      <w:r>
        <w:rPr>
          <w:rFonts w:hint="eastAsia" w:ascii="宋体" w:eastAsia="宋体"/>
        </w:rPr>
        <w:t xml:space="preserve">执行党和国家有关保密工作的法规和制度，确保会议内容及有关事项不被泄露; </w:t>
      </w:r>
    </w:p>
    <w:p>
      <w:pPr>
        <w:pStyle w:val="133"/>
        <w:rPr>
          <w:rFonts w:hint="eastAsia" w:ascii="宋体" w:eastAsia="宋体"/>
        </w:rPr>
      </w:pPr>
      <w:r>
        <w:rPr>
          <w:rFonts w:hint="eastAsia" w:ascii="宋体" w:eastAsia="宋体"/>
        </w:rPr>
        <w:t xml:space="preserve">不私下谈论会议内容，不擅自向其他无关人员谈论和提供会议内容; </w:t>
      </w:r>
    </w:p>
    <w:p>
      <w:pPr>
        <w:pStyle w:val="133"/>
        <w:rPr>
          <w:rFonts w:hint="eastAsia" w:ascii="宋体" w:eastAsia="宋体"/>
        </w:rPr>
      </w:pPr>
      <w:r>
        <w:rPr>
          <w:rFonts w:hint="eastAsia" w:ascii="宋体" w:eastAsia="宋体"/>
        </w:rPr>
        <w:t>不擅自将会议文件、资料带出会场;</w:t>
      </w:r>
    </w:p>
    <w:p>
      <w:pPr>
        <w:pStyle w:val="133"/>
        <w:rPr>
          <w:rFonts w:hint="eastAsia" w:ascii="宋体" w:eastAsia="宋体"/>
        </w:rPr>
      </w:pPr>
      <w:r>
        <w:rPr>
          <w:rFonts w:hint="eastAsia" w:ascii="宋体" w:eastAsia="宋体"/>
        </w:rPr>
        <w:t>对会议遗留的文件资料，及时送交会议主办单位，不擅自进行复印和处理;</w:t>
      </w:r>
    </w:p>
    <w:p>
      <w:pPr>
        <w:pStyle w:val="133"/>
        <w:rPr>
          <w:rFonts w:hint="eastAsia" w:ascii="宋体" w:eastAsia="宋体"/>
        </w:rPr>
      </w:pPr>
      <w:r>
        <w:rPr>
          <w:rFonts w:hint="eastAsia" w:ascii="宋体" w:eastAsia="宋体"/>
        </w:rPr>
        <w:t>不擅自使用照相机、手机和录音器等视频或音频设备记录</w:t>
      </w:r>
      <w:r>
        <w:rPr>
          <w:rFonts w:hint="eastAsia"/>
          <w:lang w:eastAsia="zh-CN"/>
        </w:rPr>
        <w:t>（</w:t>
      </w:r>
      <w:r>
        <w:rPr>
          <w:rFonts w:hint="eastAsia" w:ascii="宋体" w:eastAsia="宋体"/>
        </w:rPr>
        <w:t>拍摄</w:t>
      </w:r>
      <w:r>
        <w:rPr>
          <w:rFonts w:hint="eastAsia"/>
          <w:lang w:eastAsia="zh-CN"/>
        </w:rPr>
        <w:t>）</w:t>
      </w:r>
      <w:r>
        <w:rPr>
          <w:rFonts w:hint="eastAsia" w:ascii="宋体" w:eastAsia="宋体"/>
        </w:rPr>
        <w:t>会场布置</w:t>
      </w:r>
      <w:r>
        <w:rPr>
          <w:rFonts w:hint="eastAsia"/>
          <w:lang w:eastAsia="zh-CN"/>
        </w:rPr>
        <w:t>（</w:t>
      </w:r>
      <w:r>
        <w:rPr>
          <w:rFonts w:hint="eastAsia" w:ascii="宋体" w:eastAsia="宋体"/>
        </w:rPr>
        <w:t>场景</w:t>
      </w:r>
      <w:r>
        <w:rPr>
          <w:rFonts w:hint="eastAsia"/>
          <w:lang w:eastAsia="zh-CN"/>
        </w:rPr>
        <w:t>）</w:t>
      </w:r>
      <w:r>
        <w:rPr>
          <w:rFonts w:hint="eastAsia" w:ascii="宋体" w:eastAsia="宋体"/>
        </w:rPr>
        <w:t>、会议</w:t>
      </w:r>
      <w:r>
        <w:rPr>
          <w:rFonts w:hint="eastAsia" w:ascii="宋体" w:eastAsia="宋体"/>
          <w:lang w:eastAsia="zh-CN"/>
        </w:rPr>
        <w:t>全过程</w:t>
      </w:r>
      <w:r>
        <w:rPr>
          <w:rFonts w:hint="eastAsia" w:ascii="宋体" w:eastAsia="宋体"/>
        </w:rPr>
        <w:t xml:space="preserve">; </w:t>
      </w:r>
    </w:p>
    <w:p>
      <w:pPr>
        <w:pStyle w:val="133"/>
        <w:rPr>
          <w:rFonts w:hint="eastAsia" w:ascii="宋体" w:eastAsia="宋体"/>
        </w:rPr>
      </w:pPr>
      <w:r>
        <w:rPr>
          <w:rFonts w:hint="eastAsia" w:ascii="宋体" w:eastAsia="宋体"/>
        </w:rPr>
        <w:t>不使用手机应用、微信小程序等对涉密会议文件、资料进行拍摄、录音、录像或者图文识别;</w:t>
      </w:r>
    </w:p>
    <w:p>
      <w:pPr>
        <w:pStyle w:val="133"/>
        <w:rPr>
          <w:rFonts w:hint="eastAsia" w:ascii="宋体" w:eastAsia="宋体"/>
        </w:rPr>
      </w:pPr>
      <w:r>
        <w:rPr>
          <w:rFonts w:hint="eastAsia" w:ascii="宋体" w:eastAsia="宋体"/>
        </w:rPr>
        <w:t>未经允许，不擅自对会议进行录音、录像，会议主办单位要求录音、录像的，会后及时交由</w:t>
      </w:r>
    </w:p>
    <w:p>
      <w:pPr>
        <w:pStyle w:val="133"/>
        <w:numPr>
          <w:ilvl w:val="0"/>
          <w:numId w:val="0"/>
        </w:numPr>
        <w:ind w:left="425" w:leftChars="0"/>
        <w:rPr>
          <w:rFonts w:hint="eastAsia" w:ascii="宋体" w:eastAsia="宋体"/>
        </w:rPr>
      </w:pPr>
      <w:r>
        <w:rPr>
          <w:rFonts w:hint="eastAsia" w:ascii="宋体" w:eastAsia="宋体"/>
          <w:lang w:val="en-US" w:eastAsia="zh-CN"/>
        </w:rPr>
        <w:t xml:space="preserve">    </w:t>
      </w:r>
      <w:r>
        <w:rPr>
          <w:rFonts w:hint="eastAsia" w:ascii="宋体" w:eastAsia="宋体"/>
        </w:rPr>
        <w:t>主办单位，不擅自备份;</w:t>
      </w:r>
    </w:p>
    <w:p>
      <w:pPr>
        <w:pStyle w:val="133"/>
        <w:rPr>
          <w:rFonts w:hint="eastAsia" w:ascii="宋体" w:eastAsia="宋体"/>
        </w:rPr>
      </w:pPr>
      <w:r>
        <w:rPr>
          <w:rFonts w:hint="eastAsia" w:ascii="宋体" w:eastAsia="宋体"/>
        </w:rPr>
        <w:t>不在工作中使用手机做与工作无关的事;</w:t>
      </w:r>
    </w:p>
    <w:p>
      <w:pPr>
        <w:pStyle w:val="133"/>
        <w:rPr>
          <w:rFonts w:hint="eastAsia" w:ascii="宋体" w:eastAsia="宋体"/>
        </w:rPr>
      </w:pPr>
      <w:r>
        <w:rPr>
          <w:rFonts w:hint="eastAsia" w:ascii="宋体" w:hAnsi="Times New Roman" w:eastAsia="宋体" w:cs="Times New Roman"/>
          <w:kern w:val="0"/>
          <w:sz w:val="21"/>
          <w:szCs w:val="20"/>
          <w:lang w:val="en-US" w:eastAsia="zh-CN" w:bidi="ar-SA"/>
        </w:rPr>
        <w:t>当值时，不擅自离岗，不在岗会友、聊天等做与执勤无关的事，文明执勒、使用普通话，</w:t>
      </w:r>
      <w:r>
        <w:rPr>
          <w:rFonts w:hint="eastAsia" w:ascii="宋体" w:eastAsia="宋体" w:cs="Times New Roman"/>
          <w:kern w:val="0"/>
          <w:sz w:val="21"/>
          <w:szCs w:val="20"/>
          <w:lang w:val="en-US" w:eastAsia="zh-CN" w:bidi="ar-SA"/>
        </w:rPr>
        <w:t>文明</w:t>
      </w:r>
      <w:r>
        <w:rPr>
          <w:rFonts w:hint="eastAsia"/>
        </w:rPr>
        <w:t>用语、礼貌待客、态度温和、言语亲切，指挥动作准确。</w:t>
      </w:r>
    </w:p>
    <w:p>
      <w:pPr>
        <w:pStyle w:val="166"/>
        <w:spacing w:before="156" w:beforeLines="50" w:after="156" w:afterLines="5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仪表仪态要求</w:t>
      </w:r>
    </w:p>
    <w:p>
      <w:pPr>
        <w:pStyle w:val="163"/>
        <w:numPr>
          <w:ilvl w:val="0"/>
          <w:numId w:val="0"/>
        </w:numPr>
      </w:pPr>
      <w:r>
        <w:rPr>
          <w:rFonts w:hint="eastAsia"/>
        </w:rPr>
        <w:t xml:space="preserve"> </w:t>
      </w:r>
      <w:r>
        <w:t xml:space="preserve">   </w:t>
      </w:r>
      <w:r>
        <w:rPr>
          <w:rFonts w:hint="eastAsia"/>
        </w:rPr>
        <w:t>仪表仪态要求应包括以下内容：</w:t>
      </w:r>
    </w:p>
    <w:p>
      <w:pPr>
        <w:pStyle w:val="133"/>
      </w:pPr>
      <w:r>
        <w:rPr>
          <w:rFonts w:hint="eastAsia"/>
        </w:rPr>
        <w:t>规范着装，佩戴工号牌上岗服务，牌上应有工作部门、编号；</w:t>
      </w:r>
    </w:p>
    <w:p>
      <w:pPr>
        <w:pStyle w:val="133"/>
      </w:pPr>
      <w:r>
        <w:rPr>
          <w:rFonts w:hint="eastAsia"/>
        </w:rPr>
        <w:t>服装、鞋面干净整洁无破损，不佩戴饰品；</w:t>
      </w:r>
    </w:p>
    <w:p>
      <w:pPr>
        <w:pStyle w:val="133"/>
      </w:pPr>
      <w:r>
        <w:rPr>
          <w:rFonts w:hint="eastAsia"/>
        </w:rPr>
        <w:t>精神饱满、表情自然、亲切，微笑服务；</w:t>
      </w:r>
    </w:p>
    <w:p>
      <w:pPr>
        <w:pStyle w:val="133"/>
      </w:pPr>
      <w:r>
        <w:rPr>
          <w:rFonts w:hint="eastAsia"/>
        </w:rPr>
        <w:t>面部化淡妆，清新、自然、淡雅为宜；</w:t>
      </w:r>
    </w:p>
    <w:p>
      <w:pPr>
        <w:pStyle w:val="133"/>
      </w:pPr>
      <w:r>
        <w:rPr>
          <w:rFonts w:hint="eastAsia"/>
        </w:rPr>
        <w:t>保持头发、口腔、手部、身体干净清洁无异味，头发梳理整齐，不得染彩发。女性长发用头花盘起，刘海不遮额，侧发不遮耳；男性不留胡须、鬓角。指甲修剪整齐洁净，不宜过长，不涂指甲油，近身服务工作人员不得擦拭香水。</w:t>
      </w:r>
    </w:p>
    <w:p>
      <w:pPr>
        <w:pStyle w:val="166"/>
        <w:spacing w:before="156" w:beforeLines="50" w:after="156" w:afterLines="5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举止姿态要求</w:t>
      </w:r>
    </w:p>
    <w:p>
      <w:pPr>
        <w:pStyle w:val="163"/>
        <w:numPr>
          <w:ilvl w:val="0"/>
          <w:numId w:val="0"/>
        </w:numPr>
      </w:pPr>
      <w:r>
        <w:rPr>
          <w:rFonts w:hint="eastAsia"/>
        </w:rPr>
        <w:t xml:space="preserve"> </w:t>
      </w:r>
      <w:r>
        <w:t xml:space="preserve">   </w:t>
      </w:r>
      <w:r>
        <w:rPr>
          <w:rFonts w:hint="eastAsia"/>
        </w:rPr>
        <w:t>仪表仪态要求应包括以下内容：</w:t>
      </w:r>
    </w:p>
    <w:p>
      <w:pPr>
        <w:pStyle w:val="133"/>
      </w:pPr>
      <w:r>
        <w:rPr>
          <w:rFonts w:hint="eastAsia"/>
        </w:rPr>
        <w:t>举止文明，姿态端庄，服务主动，符合岗位规范；</w:t>
      </w:r>
    </w:p>
    <w:p>
      <w:pPr>
        <w:pStyle w:val="133"/>
      </w:pPr>
      <w:r>
        <w:rPr>
          <w:rFonts w:hint="eastAsia"/>
        </w:rPr>
        <w:t>站姿呈丁字步直立，双膝、脚跟靠紧，双手自然交叉轻放在下腹部；</w:t>
      </w:r>
    </w:p>
    <w:p>
      <w:pPr>
        <w:pStyle w:val="133"/>
      </w:pPr>
      <w:r>
        <w:rPr>
          <w:rFonts w:hint="eastAsia"/>
        </w:rPr>
        <w:t>走姿呈直线行进，两眼平视前方，手指自然弯曲，双臂前后自然摆动，步伐轻稳优美、从容自信，具有韵律感；</w:t>
      </w:r>
    </w:p>
    <w:p>
      <w:pPr>
        <w:pStyle w:val="133"/>
      </w:pPr>
      <w:r>
        <w:rPr>
          <w:rFonts w:hint="eastAsia"/>
        </w:rPr>
        <w:t>坐姿分正姿、斜放式、交叉式。坐于椅子1/3处，挺胸立腰收腹，肩平头正，双手自然摆放在双腿上，显现优雅气质；</w:t>
      </w:r>
    </w:p>
    <w:p>
      <w:pPr>
        <w:pStyle w:val="133"/>
      </w:pPr>
      <w:r>
        <w:rPr>
          <w:rFonts w:hint="eastAsia"/>
        </w:rPr>
        <w:t>蹲姿分高低式、交叉式。高低式左脚在前、右脚在后，左小腿垂直于地面，右膝靠于左小腿内侧，前脚掌着地，屈膝蹲下，形成左膝高右膝低的姿态，上身挺直，侧身捡物，不得低头弓背。交叉式右腿交叉于左腿下面；</w:t>
      </w:r>
    </w:p>
    <w:p>
      <w:pPr>
        <w:pStyle w:val="133"/>
      </w:pPr>
      <w:r>
        <w:rPr>
          <w:rFonts w:hint="eastAsia"/>
        </w:rPr>
        <w:t>手势分横摆式、双臂横摆式。五指并拢，朝指示的方向呈45°角伸出，目光兼顾来宾和所指方向，手臂高不过耳，低不过腰，掌心对来宾呈45°角指明上、下、左、右、前、后、我、你、他9个方位；</w:t>
      </w:r>
    </w:p>
    <w:p>
      <w:pPr>
        <w:pStyle w:val="133"/>
      </w:pPr>
      <w:r>
        <w:rPr>
          <w:rFonts w:hint="eastAsia"/>
        </w:rPr>
        <w:t>引领工作人员站在宾客的左侧前方1.5m的距离为其引路，并伴指引手；</w:t>
      </w:r>
    </w:p>
    <w:p>
      <w:pPr>
        <w:pStyle w:val="133"/>
      </w:pPr>
      <w:r>
        <w:rPr>
          <w:rFonts w:hint="eastAsia"/>
        </w:rPr>
        <w:t>递物不得把刀尖、笔尖对着宾客递送，宾客接稳后方可松手。</w:t>
      </w:r>
    </w:p>
    <w:p>
      <w:pPr>
        <w:pStyle w:val="133"/>
        <w:numPr>
          <w:ilvl w:val="0"/>
          <w:numId w:val="0"/>
        </w:numPr>
        <w:rPr>
          <w:rFonts w:hint="eastAsia" w:ascii="黑体" w:hAnsi="黑体" w:eastAsia="黑体" w:cs="Times New Roman"/>
          <w:sz w:val="21"/>
          <w:lang w:val="en-US" w:eastAsia="zh-CN" w:bidi="ar-SA"/>
        </w:rPr>
      </w:pPr>
    </w:p>
    <w:p>
      <w:pPr>
        <w:pStyle w:val="166"/>
        <w:spacing w:before="156" w:beforeLines="50" w:after="156" w:afterLines="50"/>
        <w:rPr>
          <w:rFonts w:hint="default"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会议服务人员每季度应进行评价考核，考核内容包括但不限于:服务品质、工作纪律、服务形象、学习能力等。</w:t>
      </w:r>
    </w:p>
    <w:p>
      <w:pPr>
        <w:pStyle w:val="105"/>
        <w:spacing w:before="312" w:after="312"/>
        <w:rPr>
          <w:rFonts w:hint="default"/>
          <w:lang w:val="en-US" w:eastAsia="zh-CN"/>
        </w:rPr>
      </w:pPr>
      <w:bookmarkStart w:id="59" w:name="_Toc144832105"/>
      <w:r>
        <w:rPr>
          <w:rFonts w:hint="eastAsia"/>
        </w:rPr>
        <w:t>服务内容及质量要求</w:t>
      </w:r>
      <w:bookmarkEnd w:id="59"/>
    </w:p>
    <w:p>
      <w:pPr>
        <w:pStyle w:val="163"/>
        <w:rPr>
          <w:rFonts w:hint="eastAsia" w:ascii="黑体" w:hAnsi="黑体" w:eastAsia="黑体"/>
          <w:lang w:val="en-US" w:eastAsia="zh-CN"/>
        </w:rPr>
      </w:pPr>
      <w:r>
        <w:rPr>
          <w:rFonts w:hint="eastAsia" w:ascii="黑体" w:hAnsi="黑体" w:eastAsia="黑体"/>
          <w:lang w:val="en-US" w:eastAsia="zh-CN"/>
        </w:rPr>
        <w:t>会前服务</w:t>
      </w:r>
    </w:p>
    <w:p>
      <w:pPr>
        <w:pStyle w:val="166"/>
        <w:spacing w:before="156" w:beforeLines="50" w:after="156" w:afterLines="50"/>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接待</w:t>
      </w:r>
    </w:p>
    <w:p>
      <w:pPr>
        <w:pStyle w:val="166"/>
        <w:spacing w:before="156" w:beforeLines="50" w:after="156" w:afterLines="5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接待会议主办单位，与会议主办单位确认以下事项</w:t>
      </w:r>
      <w:r>
        <w:rPr>
          <w:rFonts w:hint="eastAsia" w:cs="Times New Roman"/>
          <w:sz w:val="21"/>
          <w:lang w:val="en-US" w:eastAsia="zh-CN" w:bidi="ar-SA"/>
        </w:rPr>
        <w:t>，由会议主办方</w:t>
      </w:r>
      <w:r>
        <w:rPr>
          <w:rFonts w:hint="eastAsia" w:ascii="宋体" w:hAnsi="Times New Roman" w:eastAsia="宋体" w:cs="Times New Roman"/>
          <w:sz w:val="21"/>
          <w:lang w:val="en-US" w:eastAsia="zh-CN" w:bidi="ar-SA"/>
        </w:rPr>
        <w:t>填写《会议预定申报审批表》(见附录</w:t>
      </w:r>
      <w:r>
        <w:rPr>
          <w:rFonts w:hint="eastAsia" w:cs="Times New Roman"/>
          <w:sz w:val="21"/>
          <w:lang w:val="en-US" w:eastAsia="zh-CN" w:bidi="ar-SA"/>
        </w:rPr>
        <w:t>A</w:t>
      </w:r>
      <w:r>
        <w:rPr>
          <w:rFonts w:hint="eastAsia" w:ascii="宋体" w:hAnsi="Times New Roman" w:eastAsia="宋体" w:cs="Times New Roman"/>
          <w:sz w:val="21"/>
          <w:lang w:val="en-US" w:eastAsia="zh-CN" w:bidi="ar-SA"/>
        </w:rPr>
        <w:t>)</w:t>
      </w:r>
      <w:r>
        <w:rPr>
          <w:rFonts w:hint="eastAsia" w:cs="Times New Roman"/>
          <w:sz w:val="21"/>
          <w:lang w:val="en-US" w:eastAsia="zh-CN" w:bidi="ar-SA"/>
        </w:rPr>
        <w:t>。</w:t>
      </w:r>
    </w:p>
    <w:p>
      <w:pPr>
        <w:pStyle w:val="133"/>
      </w:pPr>
      <w:r>
        <w:rPr>
          <w:rFonts w:hint="eastAsia"/>
        </w:rPr>
        <w:t>会场设施功能及服务流程</w:t>
      </w:r>
      <w:r>
        <w:rPr>
          <w:rFonts w:hint="eastAsia"/>
          <w:lang w:eastAsia="zh-CN"/>
        </w:rPr>
        <w:t>；</w:t>
      </w:r>
    </w:p>
    <w:p>
      <w:pPr>
        <w:pStyle w:val="133"/>
        <w:rPr>
          <w:rFonts w:hint="eastAsia"/>
        </w:rPr>
      </w:pPr>
      <w:r>
        <w:rPr>
          <w:rFonts w:hint="eastAsia"/>
        </w:rPr>
        <w:t>会议厅室接待能力和硬件设施;</w:t>
      </w:r>
    </w:p>
    <w:p>
      <w:pPr>
        <w:pStyle w:val="133"/>
        <w:rPr>
          <w:rFonts w:hint="eastAsia"/>
        </w:rPr>
      </w:pPr>
      <w:r>
        <w:rPr>
          <w:rFonts w:hint="eastAsia"/>
        </w:rPr>
        <w:t>会议主办单位的名称、通讯地址及电话;</w:t>
      </w:r>
    </w:p>
    <w:p>
      <w:pPr>
        <w:pStyle w:val="133"/>
        <w:rPr>
          <w:rFonts w:hint="eastAsia"/>
        </w:rPr>
      </w:pPr>
      <w:r>
        <w:rPr>
          <w:rFonts w:hint="eastAsia"/>
        </w:rPr>
        <w:t>开会时间、会议日程、参会人数、服务项目、设备要求等;</w:t>
      </w:r>
    </w:p>
    <w:p>
      <w:pPr>
        <w:pStyle w:val="133"/>
      </w:pPr>
      <w:r>
        <w:rPr>
          <w:rFonts w:hint="eastAsia"/>
        </w:rPr>
        <w:t>若主办单位会议方案发生人数、场所、日期和时间等重大变更等，应以其书面通知为准。</w:t>
      </w:r>
    </w:p>
    <w:p>
      <w:pPr>
        <w:pStyle w:val="165"/>
        <w:spacing w:before="156" w:beforeLines="50" w:after="156" w:afterLines="5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按照服务要求分解会议服务内容，</w:t>
      </w:r>
      <w:r>
        <w:rPr>
          <w:rFonts w:hint="eastAsia" w:cs="Times New Roman"/>
          <w:sz w:val="21"/>
          <w:lang w:val="en-US" w:eastAsia="zh-CN" w:bidi="ar-SA"/>
        </w:rPr>
        <w:t>会议服务方填写《会前服务工作清单》（见附录B）</w:t>
      </w:r>
      <w:r>
        <w:rPr>
          <w:rFonts w:hint="eastAsia" w:ascii="宋体" w:hAnsi="Times New Roman" w:eastAsia="宋体" w:cs="Times New Roman"/>
          <w:sz w:val="21"/>
          <w:lang w:val="en-US" w:eastAsia="zh-CN" w:bidi="ar-SA"/>
        </w:rPr>
        <w:t>。</w:t>
      </w:r>
    </w:p>
    <w:p>
      <w:pPr>
        <w:pStyle w:val="166"/>
        <w:spacing w:before="156" w:beforeLines="50" w:after="156" w:afterLines="50"/>
        <w:rPr>
          <w:rFonts w:hint="eastAsia" w:ascii="黑体" w:hAnsi="黑体" w:eastAsia="黑体"/>
          <w:lang w:val="en-US" w:eastAsia="zh-CN"/>
        </w:rPr>
      </w:pPr>
      <w:r>
        <w:rPr>
          <w:rFonts w:hint="eastAsia" w:ascii="黑体" w:hAnsi="黑体" w:eastAsia="黑体"/>
          <w:lang w:val="en-US" w:eastAsia="zh-CN"/>
        </w:rPr>
        <w:t>会前准备</w:t>
      </w:r>
    </w:p>
    <w:p>
      <w:pPr>
        <w:pStyle w:val="165"/>
        <w:spacing w:before="156" w:beforeLines="50" w:after="156" w:afterLines="50"/>
        <w:rPr>
          <w:rFonts w:hint="eastAsia" w:ascii="黑体" w:hAnsi="黑体" w:eastAsia="黑体"/>
          <w:lang w:eastAsia="zh-CN"/>
        </w:rPr>
      </w:pPr>
      <w:r>
        <w:rPr>
          <w:rFonts w:hint="eastAsia" w:ascii="黑体" w:hAnsi="黑体" w:eastAsia="黑体"/>
          <w:lang w:eastAsia="zh-CN"/>
        </w:rPr>
        <w:t>会场布置</w:t>
      </w:r>
    </w:p>
    <w:p>
      <w:pPr>
        <w:pStyle w:val="166"/>
        <w:numPr>
          <w:ilvl w:val="0"/>
          <w:numId w:val="0"/>
        </w:numPr>
        <w:ind w:firstLine="420" w:firstLineChars="200"/>
      </w:pPr>
      <w:r>
        <w:rPr>
          <w:rFonts w:hint="eastAsia"/>
        </w:rPr>
        <w:t>各功能区设立引导标识和指示牌。</w:t>
      </w:r>
    </w:p>
    <w:p>
      <w:pPr>
        <w:pStyle w:val="165"/>
        <w:spacing w:before="156" w:beforeLines="50" w:after="156" w:afterLines="50"/>
        <w:rPr>
          <w:rFonts w:ascii="黑体" w:hAnsi="黑体" w:eastAsia="黑体"/>
        </w:rPr>
      </w:pPr>
      <w:r>
        <w:rPr>
          <w:rFonts w:hint="eastAsia" w:ascii="黑体" w:hAnsi="黑体" w:eastAsia="黑体"/>
        </w:rPr>
        <w:t>会场布局</w:t>
      </w:r>
    </w:p>
    <w:p>
      <w:pPr>
        <w:pStyle w:val="163"/>
        <w:numPr>
          <w:ilvl w:val="0"/>
          <w:numId w:val="0"/>
        </w:numPr>
      </w:pPr>
      <w:r>
        <w:rPr>
          <w:rFonts w:hint="eastAsia"/>
        </w:rPr>
        <w:t xml:space="preserve"> </w:t>
      </w:r>
      <w:r>
        <w:t xml:space="preserve">   </w:t>
      </w:r>
      <w:r>
        <w:rPr>
          <w:rFonts w:hint="eastAsia"/>
        </w:rPr>
        <w:t>会场布局要求应包括以下内容</w:t>
      </w:r>
      <w:r>
        <w:rPr>
          <w:rFonts w:hint="eastAsia"/>
          <w:lang w:eastAsia="zh-CN"/>
        </w:rPr>
        <w:t>（详见附录</w:t>
      </w:r>
      <w:r>
        <w:rPr>
          <w:rFonts w:hint="eastAsia"/>
          <w:lang w:val="en-US" w:eastAsia="zh-CN"/>
        </w:rPr>
        <w:t>C</w:t>
      </w:r>
      <w:r>
        <w:rPr>
          <w:rFonts w:hint="eastAsia"/>
          <w:lang w:eastAsia="zh-CN"/>
        </w:rPr>
        <w:t>）</w:t>
      </w:r>
      <w:r>
        <w:rPr>
          <w:rFonts w:hint="eastAsia"/>
        </w:rPr>
        <w:t>：</w:t>
      </w:r>
    </w:p>
    <w:p>
      <w:pPr>
        <w:pStyle w:val="133"/>
      </w:pPr>
      <w:r>
        <w:rPr>
          <w:rFonts w:hint="eastAsia"/>
        </w:rPr>
        <w:t>桌椅应摆放整齐。主席台布置（单、双居中）座位以左边为大原则，椅子摆放置桌子1/2（双人桌1/4）处，带扶手椅距桌子25㎝±5㎝，不带扶手椅距桌子</w:t>
      </w:r>
      <w:r>
        <w:rPr>
          <w:rFonts w:hint="eastAsia"/>
          <w:lang w:val="en-US" w:eastAsia="zh-CN"/>
        </w:rPr>
        <w:t>15</w:t>
      </w:r>
      <w:r>
        <w:rPr>
          <w:rFonts w:hint="eastAsia"/>
        </w:rPr>
        <w:t>㎝±5㎝；多排座次中间走道间距95㎝±5㎝；每排桌与桌间距95㎝±5㎝；</w:t>
      </w:r>
    </w:p>
    <w:p>
      <w:pPr>
        <w:pStyle w:val="133"/>
      </w:pPr>
      <w:r>
        <w:rPr>
          <w:rFonts w:hint="eastAsia"/>
        </w:rPr>
        <w:t>席卡、杯碟、毛巾碟从左至右紧靠摆放距桌外沿3㎝处，横呈一条直线。席卡居中放置桌面1/2（双人桌1/4）处，杯碟、毛巾碟依次向右摆放宽度2.0㎝±0.5㎝。若放置话筒，则席卡摆放于话筒左侧，杯碟、毛巾碟摆放于话筒右侧；双话筒时，席卡摆放话筒中间，杯碟、毛巾碟摆放于话筒右侧；</w:t>
      </w:r>
    </w:p>
    <w:p>
      <w:pPr>
        <w:pStyle w:val="133"/>
      </w:pPr>
      <w:r>
        <w:rPr>
          <w:rFonts w:hint="eastAsia"/>
        </w:rPr>
        <w:t>茶杯摆成一条直线，杯把统一向右，下放杯碟。杯把与垂直方向呈40°角；添加茶叶用统一量勺，开水倒7分满。红、蓝、铅笔置于笔盒放在杯垫指定位置，会议资料整齐摆放在桌子居中位置，6张A4便签白纸、抽纸、湿纸巾统一整齐摆放在桌子抽屉从右往左依次摆放，紧贴桌子下边沿。</w:t>
      </w:r>
    </w:p>
    <w:p>
      <w:pPr>
        <w:pStyle w:val="165"/>
        <w:spacing w:before="156" w:beforeLines="50" w:after="156" w:afterLines="50"/>
        <w:rPr>
          <w:rFonts w:hint="eastAsia" w:ascii="黑体" w:hAnsi="黑体" w:eastAsia="黑体"/>
        </w:rPr>
      </w:pPr>
      <w:r>
        <w:rPr>
          <w:rFonts w:hint="eastAsia" w:ascii="黑体" w:hAnsi="黑体" w:eastAsia="黑体"/>
          <w:lang w:eastAsia="zh-CN"/>
        </w:rPr>
        <w:t>设备调试</w:t>
      </w:r>
    </w:p>
    <w:p>
      <w:pPr>
        <w:pStyle w:val="168"/>
        <w:bidi w:val="0"/>
        <w:rPr>
          <w:rFonts w:hint="eastAsia"/>
        </w:rPr>
      </w:pPr>
      <w:r>
        <w:rPr>
          <w:rFonts w:hint="eastAsia"/>
          <w:lang w:eastAsia="zh-CN"/>
        </w:rPr>
        <w:t>会议设备技术人员应提前1h到岗，根据发言情况配置和调试话筒;根据会议需求，合理调整灯光亮度(色温)和音响音量;如召开视频会议，需提前做好视频信号对接、电视机(显示屏)摆放、调试工作;如会议需要播放国际歌、国歌、音乐、视频等要求，应提前进行试播完好，设备调试应符合表1的要求。</w:t>
      </w:r>
    </w:p>
    <w:p>
      <w:pPr>
        <w:pStyle w:val="168"/>
        <w:bidi w:val="0"/>
        <w:rPr>
          <w:rFonts w:hint="eastAsia"/>
        </w:rPr>
      </w:pPr>
      <w:r>
        <w:rPr>
          <w:rFonts w:hint="eastAsia"/>
        </w:rPr>
        <w:t>应保证电力、通讯等供给正常，召开一类会议时，通知供电、通讯、消防等部门到场，提供现场保障服务。</w:t>
      </w:r>
    </w:p>
    <w:p>
      <w:pPr>
        <w:pStyle w:val="168"/>
        <w:bidi w:val="0"/>
        <w:rPr>
          <w:rFonts w:hint="eastAsia"/>
        </w:rPr>
      </w:pPr>
      <w:r>
        <w:rPr>
          <w:rFonts w:hint="eastAsia"/>
        </w:rPr>
        <w:t>应配备备用的电源、网络、话筒等设备。</w:t>
      </w:r>
    </w:p>
    <w:p>
      <w:pPr>
        <w:jc w:val="cente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表1 设备调试要求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pPr>
              <w:jc w:val="center"/>
              <w:rPr>
                <w:rFonts w:hint="eastAsia"/>
                <w:vertAlign w:val="baseline"/>
              </w:rPr>
            </w:pPr>
            <w:r>
              <w:rPr>
                <w:rFonts w:hint="eastAsia"/>
              </w:rPr>
              <w:t>项目</w:t>
            </w:r>
          </w:p>
        </w:tc>
        <w:tc>
          <w:tcPr>
            <w:tcW w:w="8271" w:type="dxa"/>
          </w:tcPr>
          <w:p>
            <w:pPr>
              <w:jc w:val="center"/>
              <w:rPr>
                <w:rFonts w:hint="eastAsia"/>
                <w:vertAlign w:val="baseline"/>
              </w:rPr>
            </w:pPr>
            <w:r>
              <w:rPr>
                <w:rFonts w:hint="eastAsi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pPr>
              <w:keepNext w:val="0"/>
              <w:keepLines w:val="0"/>
              <w:pageBreakBefore w:val="0"/>
              <w:widowControl w:val="0"/>
              <w:kinsoku/>
              <w:wordWrap/>
              <w:overflowPunct/>
              <w:topLinePunct w:val="0"/>
              <w:autoSpaceDE/>
              <w:autoSpaceDN/>
              <w:bidi w:val="0"/>
              <w:adjustRightInd w:val="0"/>
              <w:snapToGrid/>
              <w:spacing w:line="1440" w:lineRule="auto"/>
              <w:jc w:val="center"/>
              <w:textAlignment w:val="auto"/>
              <w:rPr>
                <w:rFonts w:hint="eastAsia"/>
                <w:vertAlign w:val="baseline"/>
              </w:rPr>
            </w:pPr>
            <w:r>
              <w:rPr>
                <w:rFonts w:hint="eastAsia"/>
              </w:rPr>
              <w:t>灯光</w:t>
            </w:r>
          </w:p>
        </w:tc>
        <w:tc>
          <w:tcPr>
            <w:tcW w:w="8271" w:type="dxa"/>
          </w:tcPr>
          <w:p>
            <w:pPr>
              <w:numPr>
                <w:ilvl w:val="0"/>
                <w:numId w:val="32"/>
              </w:numPr>
              <w:jc w:val="left"/>
              <w:rPr>
                <w:rFonts w:hint="eastAsia"/>
              </w:rPr>
            </w:pPr>
            <w:r>
              <w:rPr>
                <w:rFonts w:hint="eastAsia"/>
              </w:rPr>
              <w:t>逐个开关灯光，检查其照明效果</w:t>
            </w:r>
          </w:p>
          <w:p>
            <w:pPr>
              <w:numPr>
                <w:ilvl w:val="0"/>
                <w:numId w:val="32"/>
              </w:numPr>
              <w:jc w:val="left"/>
              <w:rPr>
                <w:rFonts w:hint="eastAsia"/>
              </w:rPr>
            </w:pPr>
            <w:r>
              <w:rPr>
                <w:rFonts w:hint="eastAsia"/>
              </w:rPr>
              <w:t>应单独检查主席台灯光开放投影时的灯光效果，同时还应检查灯光对主席台人员的照射</w:t>
            </w:r>
          </w:p>
          <w:p>
            <w:pPr>
              <w:numPr>
                <w:ilvl w:val="0"/>
                <w:numId w:val="32"/>
              </w:numPr>
              <w:jc w:val="left"/>
              <w:rPr>
                <w:rFonts w:hint="eastAsia"/>
              </w:rPr>
            </w:pPr>
            <w:r>
              <w:rPr>
                <w:rFonts w:hint="eastAsia"/>
              </w:rPr>
              <w:t>灯盖应无损坏，色温应保持一致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pPr>
              <w:keepNext w:val="0"/>
              <w:keepLines w:val="0"/>
              <w:pageBreakBefore w:val="0"/>
              <w:widowControl w:val="0"/>
              <w:kinsoku/>
              <w:wordWrap/>
              <w:overflowPunct/>
              <w:topLinePunct w:val="0"/>
              <w:autoSpaceDE/>
              <w:autoSpaceDN/>
              <w:bidi w:val="0"/>
              <w:adjustRightInd w:val="0"/>
              <w:snapToGrid/>
              <w:spacing w:line="840" w:lineRule="auto"/>
              <w:jc w:val="center"/>
              <w:textAlignment w:val="auto"/>
              <w:rPr>
                <w:rFonts w:hint="eastAsia"/>
                <w:vertAlign w:val="baseline"/>
              </w:rPr>
            </w:pPr>
            <w:r>
              <w:rPr>
                <w:rFonts w:hint="eastAsia"/>
              </w:rPr>
              <w:t>音响</w:t>
            </w:r>
          </w:p>
        </w:tc>
        <w:tc>
          <w:tcPr>
            <w:tcW w:w="8271" w:type="dxa"/>
          </w:tcPr>
          <w:p>
            <w:pPr>
              <w:jc w:val="left"/>
              <w:rPr>
                <w:rFonts w:hint="eastAsia"/>
                <w:vertAlign w:val="baseline"/>
              </w:rPr>
            </w:pPr>
            <w:r>
              <w:rPr>
                <w:rFonts w:hint="eastAsia"/>
              </w:rPr>
              <w:t>音响宜提前1h打开，并将所有有关的音响设备连接，正式会议前15min再次检查确认，测试声音是否正常、音量是否适中。如有无线麦克风，应检查电池电量及备用电池情况;如有播放音乐或视频，检查播放是否正常;如需录音，检查录音设备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pPr>
              <w:keepNext w:val="0"/>
              <w:keepLines w:val="0"/>
              <w:pageBreakBefore w:val="0"/>
              <w:widowControl w:val="0"/>
              <w:kinsoku/>
              <w:wordWrap/>
              <w:overflowPunct/>
              <w:topLinePunct w:val="0"/>
              <w:autoSpaceDE/>
              <w:autoSpaceDN/>
              <w:bidi w:val="0"/>
              <w:adjustRightInd w:val="0"/>
              <w:snapToGrid/>
              <w:spacing w:line="840" w:lineRule="auto"/>
              <w:jc w:val="center"/>
              <w:textAlignment w:val="auto"/>
              <w:rPr>
                <w:rFonts w:hint="eastAsia"/>
                <w:vertAlign w:val="baseline"/>
              </w:rPr>
            </w:pPr>
            <w:r>
              <w:rPr>
                <w:rFonts w:hint="eastAsia"/>
              </w:rPr>
              <w:t>投影</w:t>
            </w:r>
          </w:p>
        </w:tc>
        <w:tc>
          <w:tcPr>
            <w:tcW w:w="8271" w:type="dxa"/>
          </w:tcPr>
          <w:p>
            <w:pPr>
              <w:numPr>
                <w:ilvl w:val="0"/>
                <w:numId w:val="33"/>
              </w:numPr>
              <w:jc w:val="left"/>
              <w:rPr>
                <w:rFonts w:hint="eastAsia"/>
              </w:rPr>
            </w:pPr>
            <w:r>
              <w:rPr>
                <w:rFonts w:hint="eastAsia"/>
              </w:rPr>
              <w:t>宜用笔记本电脑HDMI或VGA接口输出信号，电脑输出信号分辨率的设置应和投影分辨率一致</w:t>
            </w:r>
          </w:p>
          <w:p>
            <w:pPr>
              <w:numPr>
                <w:ilvl w:val="0"/>
                <w:numId w:val="33"/>
              </w:numPr>
              <w:jc w:val="left"/>
              <w:rPr>
                <w:rFonts w:hint="eastAsia"/>
              </w:rPr>
            </w:pPr>
            <w:r>
              <w:rPr>
                <w:rFonts w:hint="eastAsia"/>
              </w:rPr>
              <w:t>合理调整灯光亮度，确保投影无花屏、抖动现象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pPr>
              <w:keepNext w:val="0"/>
              <w:keepLines w:val="0"/>
              <w:pageBreakBefore w:val="0"/>
              <w:widowControl w:val="0"/>
              <w:kinsoku/>
              <w:wordWrap/>
              <w:overflowPunct/>
              <w:topLinePunct w:val="0"/>
              <w:autoSpaceDE/>
              <w:autoSpaceDN/>
              <w:bidi w:val="0"/>
              <w:adjustRightInd w:val="0"/>
              <w:snapToGrid/>
              <w:spacing w:line="840" w:lineRule="auto"/>
              <w:jc w:val="center"/>
              <w:textAlignment w:val="auto"/>
              <w:rPr>
                <w:rFonts w:hint="eastAsia"/>
                <w:vertAlign w:val="baseline"/>
              </w:rPr>
            </w:pPr>
            <w:r>
              <w:rPr>
                <w:rFonts w:hint="eastAsia"/>
              </w:rPr>
              <w:t>空调</w:t>
            </w:r>
          </w:p>
        </w:tc>
        <w:tc>
          <w:tcPr>
            <w:tcW w:w="8271" w:type="dxa"/>
          </w:tcPr>
          <w:p>
            <w:pPr>
              <w:jc w:val="left"/>
              <w:rPr>
                <w:rFonts w:hint="eastAsia"/>
                <w:vertAlign w:val="baseline"/>
              </w:rPr>
            </w:pPr>
            <w:r>
              <w:rPr>
                <w:rFonts w:hint="eastAsia"/>
              </w:rPr>
              <w:t>会议开始前，根据天气情况提前1h~2h打开空调，夏季将温度调控在26℃，冬季控制在20℃。未开启空调时，应打开新风机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pPr>
              <w:keepNext w:val="0"/>
              <w:keepLines w:val="0"/>
              <w:pageBreakBefore w:val="0"/>
              <w:widowControl w:val="0"/>
              <w:kinsoku/>
              <w:wordWrap/>
              <w:overflowPunct/>
              <w:topLinePunct w:val="0"/>
              <w:autoSpaceDE/>
              <w:autoSpaceDN/>
              <w:bidi w:val="0"/>
              <w:adjustRightInd w:val="0"/>
              <w:snapToGrid/>
              <w:spacing w:line="1440" w:lineRule="auto"/>
              <w:jc w:val="center"/>
              <w:textAlignment w:val="auto"/>
              <w:rPr>
                <w:rFonts w:hint="eastAsia"/>
                <w:vertAlign w:val="baseline"/>
              </w:rPr>
            </w:pPr>
            <w:r>
              <w:rPr>
                <w:rFonts w:hint="eastAsia"/>
              </w:rPr>
              <w:t>LED显示屏</w:t>
            </w:r>
          </w:p>
        </w:tc>
        <w:tc>
          <w:tcPr>
            <w:tcW w:w="8271" w:type="dxa"/>
          </w:tcPr>
          <w:p>
            <w:pPr>
              <w:numPr>
                <w:ilvl w:val="0"/>
                <w:numId w:val="34"/>
              </w:numPr>
              <w:jc w:val="left"/>
              <w:rPr>
                <w:rFonts w:hint="eastAsia"/>
              </w:rPr>
            </w:pPr>
            <w:r>
              <w:rPr>
                <w:rFonts w:hint="eastAsia"/>
              </w:rPr>
              <w:t>打开LED显示屏时先打开主控计算机，再打开LED显示屏:关闭LED显示屏时，先关闭LED显示屏电源，再关闭主控计算机</w:t>
            </w:r>
          </w:p>
          <w:p>
            <w:pPr>
              <w:numPr>
                <w:ilvl w:val="0"/>
                <w:numId w:val="34"/>
              </w:numPr>
              <w:jc w:val="left"/>
              <w:rPr>
                <w:rFonts w:hint="eastAsia"/>
              </w:rPr>
            </w:pPr>
            <w:r>
              <w:rPr>
                <w:rFonts w:hint="eastAsia"/>
              </w:rPr>
              <w:t>应根据会场照度适当调整LED屏亮度</w:t>
            </w:r>
          </w:p>
          <w:p>
            <w:pPr>
              <w:numPr>
                <w:ilvl w:val="0"/>
                <w:numId w:val="34"/>
              </w:numPr>
              <w:jc w:val="left"/>
              <w:rPr>
                <w:rFonts w:hint="eastAsia"/>
              </w:rPr>
            </w:pPr>
            <w:r>
              <w:rPr>
                <w:rFonts w:hint="eastAsia"/>
              </w:rPr>
              <w:t>根据会议主办单位的要求设置LED横幅屏的背景色和字体色，宜采用红底黄字或</w:t>
            </w:r>
            <w:r>
              <w:rPr>
                <w:rFonts w:hint="eastAsia"/>
                <w:lang w:eastAsia="zh-CN"/>
              </w:rPr>
              <w:t>蓝</w:t>
            </w:r>
            <w:r>
              <w:rPr>
                <w:rFonts w:hint="eastAsia"/>
              </w:rPr>
              <w:t>底白字</w:t>
            </w:r>
          </w:p>
        </w:tc>
      </w:tr>
    </w:tbl>
    <w:p>
      <w:pPr>
        <w:jc w:val="center"/>
        <w:rPr>
          <w:rFonts w:hint="eastAsia"/>
        </w:rPr>
      </w:pPr>
    </w:p>
    <w:p>
      <w:pPr>
        <w:pStyle w:val="165"/>
        <w:spacing w:before="156" w:beforeLines="50" w:after="156" w:afterLines="50"/>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检查验收</w:t>
      </w:r>
    </w:p>
    <w:p>
      <w:pPr>
        <w:pStyle w:val="168"/>
        <w:bidi w:val="0"/>
        <w:rPr>
          <w:rFonts w:hint="default" w:eastAsia="宋体"/>
          <w:lang w:val="en-US" w:eastAsia="zh-CN"/>
        </w:rPr>
      </w:pPr>
      <w:r>
        <w:rPr>
          <w:rFonts w:hint="eastAsia" w:ascii="宋体" w:eastAsia="宋体"/>
          <w:lang w:eastAsia="zh-CN"/>
        </w:rPr>
        <w:t>会议服务人员在会议召开前</w:t>
      </w:r>
      <w:r>
        <w:rPr>
          <w:rFonts w:hint="eastAsia"/>
          <w:lang w:val="en-US" w:eastAsia="zh-CN"/>
        </w:rPr>
        <w:t>30</w:t>
      </w:r>
      <w:r>
        <w:rPr>
          <w:rFonts w:hint="eastAsia" w:ascii="宋体" w:eastAsia="宋体"/>
          <w:lang w:eastAsia="zh-CN"/>
        </w:rPr>
        <w:t>min再次检查会场布置情况，查缺补漏，确保桌椅无损坏、摆放正确，必要时引导参会人员正确使用会议用品。</w:t>
      </w:r>
    </w:p>
    <w:p>
      <w:pPr>
        <w:pStyle w:val="168"/>
        <w:bidi w:val="0"/>
        <w:rPr>
          <w:rFonts w:hint="default" w:eastAsia="宋体"/>
          <w:lang w:val="en-US" w:eastAsia="zh-CN"/>
        </w:rPr>
      </w:pPr>
      <w:r>
        <w:rPr>
          <w:rFonts w:hint="eastAsia"/>
          <w:lang w:val="en-US" w:eastAsia="zh-CN"/>
        </w:rPr>
        <w:t>检查验收过程中发现的问题应及时指正，并由相关责任部门或人员现场立即指正。</w:t>
      </w:r>
    </w:p>
    <w:p>
      <w:pPr>
        <w:pStyle w:val="163"/>
        <w:spacing w:before="156" w:beforeLines="50" w:after="156" w:afterLines="50"/>
        <w:rPr>
          <w:rFonts w:ascii="黑体" w:hAnsi="黑体" w:eastAsia="黑体"/>
        </w:rPr>
      </w:pPr>
      <w:r>
        <w:rPr>
          <w:rFonts w:hint="eastAsia" w:ascii="黑体" w:hAnsi="黑体" w:eastAsia="黑体"/>
        </w:rPr>
        <w:t>会</w:t>
      </w:r>
      <w:r>
        <w:rPr>
          <w:rFonts w:hint="eastAsia" w:ascii="黑体" w:hAnsi="黑体" w:eastAsia="黑体"/>
          <w:lang w:eastAsia="zh-CN"/>
        </w:rPr>
        <w:t>中</w:t>
      </w:r>
      <w:r>
        <w:rPr>
          <w:rFonts w:hint="eastAsia" w:ascii="黑体" w:hAnsi="黑体" w:eastAsia="黑体"/>
        </w:rPr>
        <w:t>服务</w:t>
      </w:r>
    </w:p>
    <w:p>
      <w:pPr>
        <w:pStyle w:val="166"/>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引领服务</w:t>
      </w:r>
    </w:p>
    <w:p>
      <w:pPr>
        <w:pStyle w:val="165"/>
        <w:spacing w:before="156" w:beforeLines="50" w:after="156" w:afterLines="50"/>
        <w:rPr>
          <w:rFonts w:hint="eastAsia"/>
        </w:rPr>
      </w:pPr>
      <w:r>
        <w:rPr>
          <w:rFonts w:hint="eastAsia" w:ascii="宋体" w:eastAsia="宋体"/>
          <w:lang w:eastAsia="zh-CN"/>
        </w:rPr>
        <w:t>会前统一做好参会人员车辆通行、停放等安排。如遇下雨宜配备雨具并提供存放雨具的场所。</w:t>
      </w:r>
    </w:p>
    <w:p>
      <w:pPr>
        <w:pStyle w:val="165"/>
        <w:spacing w:before="156" w:beforeLines="50" w:after="156" w:afterLines="50"/>
        <w:rPr>
          <w:rFonts w:hint="eastAsia"/>
        </w:rPr>
      </w:pPr>
      <w:r>
        <w:rPr>
          <w:rFonts w:hint="eastAsia"/>
        </w:rPr>
        <w:t>维护好会场秩序、会前宜提前30min打开会议室门，安排会议服务人员站在门口迎接、引导参会人员进入会场，会议开始后，负责关好门，不应让无关人员进入会场，保持会场周边安静、有序</w:t>
      </w:r>
      <w:r>
        <w:rPr>
          <w:rFonts w:hint="eastAsia"/>
          <w:lang w:eastAsia="zh-CN"/>
        </w:rPr>
        <w:t>。</w:t>
      </w:r>
    </w:p>
    <w:p>
      <w:pPr>
        <w:pStyle w:val="165"/>
        <w:spacing w:before="156" w:beforeLines="50" w:after="156" w:afterLines="50"/>
        <w:rPr>
          <w:rFonts w:hint="eastAsia"/>
        </w:rPr>
      </w:pPr>
      <w:r>
        <w:rPr>
          <w:rFonts w:hint="eastAsia"/>
        </w:rPr>
        <w:t>会议即将开始时，可提供打铃提醒服务，宜在临会前</w:t>
      </w:r>
      <w:r>
        <w:rPr>
          <w:rFonts w:hint="eastAsia"/>
          <w:lang w:val="en-US" w:eastAsia="zh-CN"/>
        </w:rPr>
        <w:t>3</w:t>
      </w:r>
      <w:r>
        <w:rPr>
          <w:rFonts w:hint="eastAsia"/>
        </w:rPr>
        <w:t>min</w:t>
      </w:r>
      <w:r>
        <w:rPr>
          <w:rFonts w:hint="eastAsia"/>
          <w:lang w:eastAsia="zh-CN"/>
        </w:rPr>
        <w:t>打铃</w:t>
      </w:r>
      <w:r>
        <w:rPr>
          <w:rFonts w:hint="eastAsia"/>
        </w:rPr>
        <w:t>提醒</w:t>
      </w:r>
      <w:r>
        <w:rPr>
          <w:rFonts w:hint="eastAsia"/>
          <w:lang w:val="en-US" w:eastAsia="zh-CN"/>
        </w:rPr>
        <w:t>1</w:t>
      </w:r>
      <w:r>
        <w:rPr>
          <w:rFonts w:hint="eastAsia"/>
        </w:rPr>
        <w:t>次，临会前1min再次</w:t>
      </w:r>
      <w:r>
        <w:rPr>
          <w:rFonts w:hint="eastAsia"/>
          <w:lang w:eastAsia="zh-CN"/>
        </w:rPr>
        <w:t>进行语音播报提醒</w:t>
      </w:r>
      <w:r>
        <w:rPr>
          <w:rFonts w:hint="eastAsia"/>
        </w:rPr>
        <w:t>并引领领导入场:有主席台的会场，宜将领导引领至主席台入座。</w:t>
      </w:r>
    </w:p>
    <w:p>
      <w:pPr>
        <w:pStyle w:val="165"/>
        <w:spacing w:before="156" w:beforeLines="50" w:after="156" w:afterLines="50"/>
        <w:rPr>
          <w:rFonts w:hint="default" w:hAnsi="宋体" w:eastAsia="宋体"/>
          <w:lang w:val="en-US" w:eastAsia="zh-CN"/>
        </w:rPr>
      </w:pPr>
      <w:r>
        <w:rPr>
          <w:rFonts w:hint="eastAsia"/>
        </w:rPr>
        <w:t>会议过程中，参会人员进出、会议议程如中间休息，应提前将会场门打开一半。</w:t>
      </w:r>
    </w:p>
    <w:p>
      <w:pPr>
        <w:pStyle w:val="166"/>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茶水服务</w:t>
      </w:r>
    </w:p>
    <w:p>
      <w:pPr>
        <w:pStyle w:val="165"/>
        <w:spacing w:before="156" w:beforeLines="50" w:after="156" w:afterLines="50"/>
        <w:rPr>
          <w:rFonts w:hint="eastAsia"/>
        </w:rPr>
      </w:pPr>
      <w:r>
        <w:rPr>
          <w:rFonts w:hint="eastAsia" w:ascii="黑体" w:hAnsi="黑体" w:eastAsia="黑体" w:cs="Times New Roman"/>
          <w:sz w:val="21"/>
          <w:lang w:val="en-US" w:eastAsia="zh-CN" w:bidi="ar-SA"/>
        </w:rPr>
        <w:t>茶叶检查</w:t>
      </w:r>
    </w:p>
    <w:p>
      <w:pPr>
        <w:pStyle w:val="165"/>
        <w:numPr>
          <w:ilvl w:val="4"/>
          <w:numId w:val="0"/>
        </w:numPr>
        <w:spacing w:before="156" w:beforeLines="50" w:after="156" w:afterLines="50"/>
        <w:ind w:leftChars="0" w:firstLine="420"/>
        <w:rPr>
          <w:rFonts w:hint="eastAsia"/>
        </w:rPr>
      </w:pPr>
      <w:r>
        <w:rPr>
          <w:rFonts w:hint="eastAsia"/>
        </w:rPr>
        <w:t>检查茶叶质量，应无潮湿、无霉变、无异味。</w:t>
      </w:r>
    </w:p>
    <w:p>
      <w:pPr>
        <w:pStyle w:val="165"/>
        <w:spacing w:before="156" w:beforeLines="50" w:after="156" w:afterLines="50"/>
        <w:rPr>
          <w:rFonts w:hint="eastAsia" w:ascii="宋体" w:eastAsia="宋体"/>
        </w:rPr>
      </w:pPr>
      <w:r>
        <w:rPr>
          <w:rFonts w:hint="eastAsia" w:ascii="黑体" w:hAnsi="黑体" w:eastAsia="黑体" w:cs="Times New Roman"/>
          <w:sz w:val="21"/>
          <w:lang w:val="en-US" w:eastAsia="zh-CN" w:bidi="ar-SA"/>
        </w:rPr>
        <w:t>斟茶、续茶</w:t>
      </w:r>
    </w:p>
    <w:p>
      <w:pPr>
        <w:pStyle w:val="168"/>
        <w:bidi w:val="0"/>
        <w:rPr>
          <w:rFonts w:hint="eastAsia"/>
        </w:rPr>
      </w:pPr>
      <w:r>
        <w:rPr>
          <w:rFonts w:hint="eastAsia" w:ascii="宋体" w:eastAsia="宋体"/>
          <w:lang w:eastAsia="zh-CN"/>
        </w:rPr>
        <w:t>应根据气候变化和会场内温度，为茶杯加水。斟倒第1次茶水时，夏季宜提前20min，冬季宜提前15min，斟茶至茶杯容积的70%~80%为宜。</w:t>
      </w:r>
    </w:p>
    <w:p>
      <w:pPr>
        <w:pStyle w:val="168"/>
        <w:bidi w:val="0"/>
        <w:rPr>
          <w:rFonts w:hint="eastAsia"/>
        </w:rPr>
      </w:pPr>
      <w:r>
        <w:rPr>
          <w:rFonts w:hint="eastAsia"/>
        </w:rPr>
        <w:t>每隔30min续1次茶水，可根据饮茶速度，适当调整续茶间隔时间。</w:t>
      </w:r>
    </w:p>
    <w:p>
      <w:pPr>
        <w:pStyle w:val="168"/>
        <w:bidi w:val="0"/>
        <w:rPr>
          <w:rFonts w:hint="eastAsia"/>
        </w:rPr>
      </w:pPr>
      <w:r>
        <w:rPr>
          <w:rFonts w:hint="eastAsia"/>
        </w:rPr>
        <w:t>续茶水时，视情况分为前侧续水和后侧续水，按照下列步骤和要求续茶:</w:t>
      </w:r>
    </w:p>
    <w:p>
      <w:pPr>
        <w:numPr>
          <w:ilvl w:val="0"/>
          <w:numId w:val="35"/>
        </w:numPr>
        <w:ind w:left="210" w:leftChars="0" w:firstLine="0" w:firstLineChars="0"/>
        <w:rPr>
          <w:rFonts w:hint="eastAsia"/>
        </w:rPr>
      </w:pPr>
      <w:r>
        <w:rPr>
          <w:rFonts w:hint="eastAsia"/>
          <w:lang w:val="en-US" w:eastAsia="zh-CN"/>
        </w:rPr>
        <w:t xml:space="preserve"> </w:t>
      </w:r>
      <w:r>
        <w:rPr>
          <w:rFonts w:hint="eastAsia"/>
        </w:rPr>
        <w:t xml:space="preserve">用左手的小指和无名指夹起杯盖，大拇指、食指、中指握住杯把，将茶杯端起; </w:t>
      </w:r>
    </w:p>
    <w:p>
      <w:pPr>
        <w:numPr>
          <w:ilvl w:val="0"/>
          <w:numId w:val="35"/>
        </w:numPr>
        <w:ind w:left="210" w:leftChars="0" w:firstLine="0" w:firstLineChars="0"/>
        <w:rPr>
          <w:rFonts w:hint="eastAsia"/>
        </w:rPr>
      </w:pPr>
      <w:r>
        <w:rPr>
          <w:rFonts w:hint="eastAsia"/>
        </w:rPr>
        <w:t xml:space="preserve">右手握住暖瓶，瓶口不应正对宾客，侧身略弯腰将水倒入杯中: </w:t>
      </w:r>
    </w:p>
    <w:p>
      <w:pPr>
        <w:numPr>
          <w:ilvl w:val="0"/>
          <w:numId w:val="35"/>
        </w:numPr>
        <w:ind w:left="210" w:leftChars="0" w:firstLine="0" w:firstLineChars="0"/>
        <w:rPr>
          <w:rFonts w:hint="eastAsia"/>
        </w:rPr>
      </w:pPr>
      <w:r>
        <w:rPr>
          <w:rFonts w:hint="eastAsia"/>
        </w:rPr>
        <w:t>可拿1块小毛巾或纸巾，及时擦拭桌上的茶水;</w:t>
      </w:r>
    </w:p>
    <w:p>
      <w:pPr>
        <w:numPr>
          <w:ilvl w:val="0"/>
          <w:numId w:val="35"/>
        </w:numPr>
        <w:ind w:left="210" w:leftChars="0" w:firstLine="0" w:firstLineChars="0"/>
        <w:rPr>
          <w:rFonts w:hint="eastAsia"/>
        </w:rPr>
      </w:pPr>
      <w:r>
        <w:rPr>
          <w:rFonts w:hint="eastAsia"/>
        </w:rPr>
        <w:t>沏茶续水以茶杯容积的70%~80%为宜，续水后盖上杯盖并留出1条缝隙，并将杯把转向宾</w:t>
      </w:r>
    </w:p>
    <w:p>
      <w:pPr>
        <w:rPr>
          <w:rFonts w:hint="eastAsia"/>
        </w:rPr>
      </w:pPr>
      <w:r>
        <w:rPr>
          <w:rFonts w:hint="eastAsia"/>
        </w:rPr>
        <w:t>客右侧放好;</w:t>
      </w:r>
    </w:p>
    <w:p>
      <w:pPr>
        <w:numPr>
          <w:ilvl w:val="0"/>
          <w:numId w:val="35"/>
        </w:numPr>
        <w:ind w:left="210" w:leftChars="0" w:firstLine="0" w:firstLineChars="0"/>
        <w:rPr>
          <w:rFonts w:hint="eastAsia"/>
        </w:rPr>
      </w:pPr>
      <w:r>
        <w:rPr>
          <w:rFonts w:hint="eastAsia"/>
        </w:rPr>
        <w:t>续茶水时，应轻拿轻放，不应使茶具发出响声，茶水不应溅出水杯。</w:t>
      </w:r>
    </w:p>
    <w:p>
      <w:pPr>
        <w:pStyle w:val="165"/>
        <w:spacing w:before="156" w:beforeLines="50" w:after="156" w:afterLines="50"/>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会场上茶</w:t>
      </w:r>
    </w:p>
    <w:p>
      <w:pPr>
        <w:rPr>
          <w:rFonts w:hint="eastAsia"/>
        </w:rPr>
      </w:pPr>
      <w:r>
        <w:rPr>
          <w:rFonts w:hint="eastAsia"/>
          <w:lang w:val="en-US" w:eastAsia="zh-CN"/>
        </w:rPr>
        <w:t xml:space="preserve">    </w:t>
      </w:r>
      <w:r>
        <w:rPr>
          <w:rFonts w:hint="eastAsia"/>
        </w:rPr>
        <w:t>会议服务人员一手端壶，另一手五指并拢扶壶身入场，从主位开始依次在与会人员的右后方倒茶。阶梯式会场，按下列步骤上茶:</w:t>
      </w:r>
    </w:p>
    <w:p>
      <w:pPr>
        <w:numPr>
          <w:ilvl w:val="0"/>
          <w:numId w:val="36"/>
        </w:numPr>
        <w:ind w:left="210" w:leftChars="0" w:firstLine="0" w:firstLineChars="0"/>
        <w:rPr>
          <w:rFonts w:hint="eastAsia"/>
        </w:rPr>
      </w:pPr>
      <w:r>
        <w:rPr>
          <w:rFonts w:hint="eastAsia"/>
          <w:lang w:val="en-US" w:eastAsia="zh-CN"/>
        </w:rPr>
        <w:t xml:space="preserve"> </w:t>
      </w:r>
      <w:r>
        <w:rPr>
          <w:rFonts w:hint="eastAsia"/>
        </w:rPr>
        <w:t>会议服务人员从主席台右侧排列，整齐统一进入会场:</w:t>
      </w:r>
    </w:p>
    <w:p>
      <w:pPr>
        <w:numPr>
          <w:ilvl w:val="0"/>
          <w:numId w:val="36"/>
        </w:numPr>
        <w:ind w:left="210" w:leftChars="0" w:firstLine="0" w:firstLineChars="0"/>
        <w:rPr>
          <w:rFonts w:hint="eastAsia"/>
        </w:rPr>
      </w:pPr>
      <w:r>
        <w:rPr>
          <w:rFonts w:hint="eastAsia"/>
          <w:lang w:val="en-US" w:eastAsia="zh-CN"/>
        </w:rPr>
        <w:t xml:space="preserve"> </w:t>
      </w:r>
      <w:r>
        <w:rPr>
          <w:rFonts w:hint="eastAsia"/>
        </w:rPr>
        <w:t>主席台第一排上茶:由2名会议服务人员同时步入会场，行至1、2号主要领导的右后方，先</w:t>
      </w:r>
    </w:p>
    <w:p>
      <w:pPr>
        <w:rPr>
          <w:rFonts w:hint="eastAsia"/>
        </w:rPr>
      </w:pPr>
      <w:r>
        <w:rPr>
          <w:rFonts w:hint="eastAsia"/>
        </w:rPr>
        <w:t>后开始倒茶，随后分别给左右两边的领导依次倒茶:</w:t>
      </w:r>
    </w:p>
    <w:p>
      <w:pPr>
        <w:numPr>
          <w:ilvl w:val="0"/>
          <w:numId w:val="36"/>
        </w:numPr>
        <w:ind w:left="210" w:leftChars="0" w:firstLine="0" w:firstLineChars="0"/>
        <w:rPr>
          <w:rFonts w:hint="eastAsia"/>
        </w:rPr>
      </w:pPr>
      <w:r>
        <w:rPr>
          <w:rFonts w:hint="eastAsia"/>
          <w:lang w:val="en-US" w:eastAsia="zh-CN"/>
        </w:rPr>
        <w:t xml:space="preserve"> </w:t>
      </w:r>
      <w:r>
        <w:rPr>
          <w:rFonts w:hint="eastAsia"/>
        </w:rPr>
        <w:t>主席台第二排起，由2名会议服务人员同时从每排中间开始往两边依次倒茶。</w:t>
      </w:r>
    </w:p>
    <w:p>
      <w:pPr>
        <w:numPr>
          <w:ilvl w:val="0"/>
          <w:numId w:val="0"/>
        </w:numPr>
        <w:rPr>
          <w:rFonts w:hint="eastAsia"/>
        </w:rPr>
      </w:pPr>
    </w:p>
    <w:p>
      <w:pPr>
        <w:pStyle w:val="166"/>
        <w:spacing w:before="156" w:beforeLines="50" w:after="156" w:afterLines="50"/>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音控服务</w:t>
      </w:r>
    </w:p>
    <w:p>
      <w:pPr>
        <w:pStyle w:val="165"/>
        <w:spacing w:before="156" w:beforeLines="50" w:after="156" w:afterLines="50"/>
        <w:rPr>
          <w:rFonts w:ascii="黑体" w:hAnsi="黑体" w:eastAsia="黑体"/>
        </w:rPr>
      </w:pPr>
      <w:r>
        <w:rPr>
          <w:rFonts w:hint="eastAsia" w:ascii="宋体" w:eastAsia="宋体"/>
        </w:rPr>
        <w:t>会</w:t>
      </w:r>
      <w:r>
        <w:rPr>
          <w:rFonts w:hint="eastAsia" w:ascii="宋体" w:eastAsia="宋体"/>
          <w:lang w:val="en-US" w:eastAsia="zh-CN"/>
        </w:rPr>
        <w:t>前30min播放暖场音乐，会前5min</w:t>
      </w:r>
      <w:r>
        <w:rPr>
          <w:rFonts w:hint="eastAsia" w:ascii="宋体" w:eastAsia="宋体"/>
        </w:rPr>
        <w:t>停播暖场音乐，可根据会议主办单位要求适当调整</w:t>
      </w:r>
      <w:r>
        <w:rPr>
          <w:rFonts w:hint="eastAsia" w:ascii="宋体" w:eastAsia="宋体"/>
          <w:lang w:eastAsia="zh-CN"/>
        </w:rPr>
        <w:t>。</w:t>
      </w:r>
    </w:p>
    <w:p>
      <w:pPr>
        <w:pStyle w:val="165"/>
        <w:spacing w:before="156" w:beforeLines="50" w:after="156" w:afterLines="50"/>
        <w:rPr>
          <w:rFonts w:ascii="黑体" w:hAnsi="黑体" w:eastAsia="黑体"/>
        </w:rPr>
      </w:pPr>
      <w:r>
        <w:rPr>
          <w:rFonts w:hint="eastAsia" w:ascii="Calibri" w:hAnsi="Calibri" w:eastAsia="宋体" w:cs="Times New Roman"/>
          <w:kern w:val="2"/>
          <w:sz w:val="21"/>
          <w:szCs w:val="21"/>
          <w:lang w:val="en-US" w:eastAsia="zh-CN" w:bidi="ar-SA"/>
        </w:rPr>
        <w:t>音</w:t>
      </w:r>
      <w:r>
        <w:rPr>
          <w:rFonts w:hint="eastAsia"/>
        </w:rPr>
        <w:t>视频技术人员应做好音响、灯光、视频操作的全程跟踪，根据现场情况控制会场音量及灯光效果，必要时做好会议的录音、录像。</w:t>
      </w:r>
    </w:p>
    <w:p>
      <w:pPr>
        <w:pStyle w:val="166"/>
        <w:spacing w:before="156" w:beforeLines="50" w:after="156" w:afterLines="50"/>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会场巡查</w:t>
      </w:r>
    </w:p>
    <w:p>
      <w:pPr>
        <w:rPr>
          <w:rFonts w:ascii="黑体" w:hAnsi="黑体" w:eastAsia="黑体"/>
        </w:rPr>
      </w:pPr>
      <w:r>
        <w:rPr>
          <w:rFonts w:hint="eastAsia"/>
          <w:lang w:val="en-US" w:eastAsia="zh-CN"/>
        </w:rPr>
        <w:t xml:space="preserve">  </w:t>
      </w:r>
      <w:r>
        <w:rPr>
          <w:rFonts w:hint="eastAsia"/>
        </w:rPr>
        <w:t>会议服务人员应密切关注主席台及会场内动态，发现问题及时处理;随时注意观察主席台领导的服务需要，及时提供服务。如</w:t>
      </w:r>
      <w:r>
        <w:rPr>
          <w:rFonts w:hint="eastAsia"/>
          <w:lang w:val="en-US" w:eastAsia="zh-CN"/>
        </w:rPr>
        <w:t>:</w:t>
      </w:r>
      <w:r>
        <w:rPr>
          <w:rFonts w:hint="eastAsia"/>
        </w:rPr>
        <w:t>加水、递送资料、引导去卫生间等</w:t>
      </w:r>
      <w:r>
        <w:rPr>
          <w:rFonts w:hint="eastAsia"/>
          <w:lang w:val="en-US" w:eastAsia="zh-CN"/>
        </w:rPr>
        <w:t>;</w:t>
      </w:r>
      <w:r>
        <w:rPr>
          <w:rFonts w:hint="eastAsia"/>
        </w:rPr>
        <w:t>重要会议时，分管领导、主管部门负责人、电工等应到场旁站，随时留意会场音响、温度等情况。</w:t>
      </w:r>
    </w:p>
    <w:p>
      <w:pPr>
        <w:pStyle w:val="163"/>
        <w:spacing w:before="156" w:beforeLines="50" w:after="156" w:afterLines="50"/>
        <w:rPr>
          <w:rFonts w:ascii="黑体" w:hAnsi="黑体" w:eastAsia="黑体"/>
        </w:rPr>
      </w:pPr>
      <w:r>
        <w:rPr>
          <w:rFonts w:hint="eastAsia" w:ascii="黑体" w:hAnsi="黑体" w:eastAsia="黑体"/>
          <w:lang w:eastAsia="zh-CN"/>
        </w:rPr>
        <w:t>会后服务</w:t>
      </w:r>
    </w:p>
    <w:p>
      <w:pPr>
        <w:pStyle w:val="166"/>
        <w:rPr>
          <w:rFonts w:hAnsi="宋体"/>
        </w:rPr>
      </w:pPr>
      <w:r>
        <w:rPr>
          <w:rFonts w:hint="eastAsia" w:hAnsi="宋体"/>
        </w:rPr>
        <w:t>会议</w:t>
      </w:r>
      <w:r>
        <w:rPr>
          <w:rFonts w:hint="eastAsia"/>
        </w:rPr>
        <w:t>会议结束时，及时打开会议室大门，会议服务人员站在门口欢送参会领导和参会人员，并提醒大家带好随身物品</w:t>
      </w:r>
      <w:r>
        <w:rPr>
          <w:rFonts w:hint="eastAsia" w:hAnsi="宋体"/>
        </w:rPr>
        <w:t>。</w:t>
      </w:r>
    </w:p>
    <w:p>
      <w:pPr>
        <w:pStyle w:val="166"/>
        <w:rPr>
          <w:rFonts w:hAnsi="宋体"/>
        </w:rPr>
      </w:pPr>
      <w:r>
        <w:rPr>
          <w:rFonts w:hint="eastAsia"/>
        </w:rPr>
        <w:t>参会人员全部离开会场后，会议服务人员应检查会场有无参会人员遗忘的物品。如有遗失物品应及时送还。未能及时送还的，应妥善保管，做好登记，填写《会议遗漏物品登记认领表》(见附录</w:t>
      </w:r>
      <w:r>
        <w:rPr>
          <w:rFonts w:hint="eastAsia"/>
          <w:lang w:val="en-US" w:eastAsia="zh-CN"/>
        </w:rPr>
        <w:t>D</w:t>
      </w:r>
      <w:r>
        <w:rPr>
          <w:rFonts w:hint="eastAsia"/>
        </w:rPr>
        <w:t>)。同时，及时联系会议主办单位，尽快转交失主。</w:t>
      </w:r>
    </w:p>
    <w:p>
      <w:pPr>
        <w:pStyle w:val="166"/>
        <w:rPr>
          <w:rFonts w:hAnsi="宋体"/>
        </w:rPr>
      </w:pPr>
      <w:r>
        <w:rPr>
          <w:rFonts w:hint="eastAsia"/>
        </w:rPr>
        <w:t>根据会议要求，向会议主办单位提供相应会议录音、录像资料。</w:t>
      </w:r>
    </w:p>
    <w:p>
      <w:pPr>
        <w:pStyle w:val="166"/>
        <w:rPr>
          <w:rFonts w:hAnsi="宋体"/>
        </w:rPr>
      </w:pPr>
      <w:r>
        <w:rPr>
          <w:rFonts w:hint="eastAsia"/>
        </w:rPr>
        <w:t>清理会场卫生、桌椅归位，如有疫情发生时，应按照相关防疫要求进行全面消毒。</w:t>
      </w:r>
    </w:p>
    <w:p>
      <w:pPr>
        <w:pStyle w:val="166"/>
        <w:rPr>
          <w:rFonts w:hAnsi="宋体"/>
        </w:rPr>
      </w:pPr>
      <w:r>
        <w:rPr>
          <w:rFonts w:hint="eastAsia"/>
        </w:rPr>
        <w:t>关闭灯光、空调、音响、显示屏、门窗等，并做好会场安全检查记录。</w:t>
      </w:r>
    </w:p>
    <w:p>
      <w:pPr>
        <w:pStyle w:val="166"/>
        <w:rPr>
          <w:rFonts w:hAnsi="宋体"/>
        </w:rPr>
      </w:pPr>
      <w:r>
        <w:rPr>
          <w:rFonts w:hint="eastAsia"/>
        </w:rPr>
        <w:t>及时清点并清洗消毒茶杯和毛巾等会议用品，纸巾、纸笔等按类别回收</w:t>
      </w:r>
      <w:r>
        <w:rPr>
          <w:rFonts w:hint="eastAsia"/>
          <w:lang w:eastAsia="zh-CN"/>
        </w:rPr>
        <w:t>归放</w:t>
      </w:r>
      <w:r>
        <w:rPr>
          <w:rFonts w:hint="eastAsia"/>
        </w:rPr>
        <w:t>(见附录</w:t>
      </w:r>
      <w:r>
        <w:rPr>
          <w:rFonts w:hint="eastAsia"/>
          <w:lang w:val="en-US" w:eastAsia="zh-CN"/>
        </w:rPr>
        <w:t>E</w:t>
      </w:r>
      <w:r>
        <w:rPr>
          <w:rFonts w:hint="eastAsia"/>
        </w:rPr>
        <w:t>)</w:t>
      </w:r>
      <w:r>
        <w:rPr>
          <w:rFonts w:hint="eastAsia" w:hAnsi="宋体"/>
        </w:rPr>
        <w:t>。</w:t>
      </w:r>
    </w:p>
    <w:p>
      <w:pPr>
        <w:pStyle w:val="166"/>
        <w:rPr>
          <w:rFonts w:hAnsi="宋体"/>
        </w:rPr>
      </w:pPr>
      <w:r>
        <w:rPr>
          <w:rFonts w:hint="eastAsia"/>
        </w:rPr>
        <w:t>定期做好回访工作</w:t>
      </w:r>
      <w:r>
        <w:rPr>
          <w:rFonts w:hint="eastAsia" w:hAnsi="宋体"/>
        </w:rPr>
        <w:t>。</w:t>
      </w:r>
    </w:p>
    <w:p>
      <w:pPr>
        <w:pStyle w:val="105"/>
        <w:spacing w:before="312" w:after="312"/>
      </w:pPr>
      <w:bookmarkStart w:id="60" w:name="_Toc144832106"/>
      <w:bookmarkStart w:id="61" w:name="_Toc122462201"/>
      <w:bookmarkStart w:id="62" w:name="_Toc122462210"/>
      <w:bookmarkStart w:id="63" w:name="_Toc122465434"/>
      <w:r>
        <w:rPr>
          <w:rFonts w:hint="eastAsia"/>
          <w:lang w:eastAsia="zh-CN"/>
        </w:rPr>
        <w:t>档案</w:t>
      </w:r>
      <w:r>
        <w:rPr>
          <w:rFonts w:hint="eastAsia"/>
        </w:rPr>
        <w:t>管理</w:t>
      </w:r>
      <w:bookmarkEnd w:id="60"/>
    </w:p>
    <w:p>
      <w:pPr>
        <w:pStyle w:val="163"/>
        <w:rPr>
          <w:rFonts w:hAnsi="宋体"/>
        </w:rPr>
      </w:pPr>
      <w:r>
        <w:rPr>
          <w:rFonts w:hint="eastAsia"/>
        </w:rPr>
        <w:t>会议服务机构应建立党政机关会议服务档案，分类整理，妥善保管但不限于以下文件资料</w:t>
      </w:r>
      <w:r>
        <w:rPr>
          <w:rFonts w:hint="eastAsia" w:hAnsi="宋体"/>
        </w:rPr>
        <w:t>。</w:t>
      </w:r>
    </w:p>
    <w:p>
      <w:pPr>
        <w:pStyle w:val="133"/>
        <w:rPr>
          <w:rFonts w:hint="eastAsia" w:ascii="宋体" w:eastAsia="宋体"/>
        </w:rPr>
      </w:pPr>
      <w:r>
        <w:rPr>
          <w:rFonts w:hint="eastAsia" w:ascii="宋体" w:eastAsia="宋体"/>
        </w:rPr>
        <w:t>会务服务需求确认表</w:t>
      </w:r>
      <w:r>
        <w:rPr>
          <w:rFonts w:hint="eastAsia" w:ascii="宋体" w:eastAsia="宋体"/>
          <w:lang w:eastAsia="zh-CN"/>
        </w:rPr>
        <w:t>；</w:t>
      </w:r>
    </w:p>
    <w:p>
      <w:pPr>
        <w:pStyle w:val="133"/>
        <w:rPr>
          <w:rFonts w:hint="eastAsia" w:ascii="宋体" w:eastAsia="宋体"/>
        </w:rPr>
      </w:pPr>
      <w:r>
        <w:rPr>
          <w:rFonts w:hint="eastAsia" w:ascii="宋体" w:eastAsia="宋体"/>
        </w:rPr>
        <w:t>会场准备工作检查表</w:t>
      </w:r>
      <w:r>
        <w:rPr>
          <w:rFonts w:hint="eastAsia" w:ascii="宋体" w:eastAsia="宋体"/>
          <w:lang w:eastAsia="zh-CN"/>
        </w:rPr>
        <w:t>；</w:t>
      </w:r>
    </w:p>
    <w:p>
      <w:pPr>
        <w:pStyle w:val="133"/>
        <w:rPr>
          <w:rFonts w:hint="eastAsia" w:ascii="宋体" w:eastAsia="宋体"/>
        </w:rPr>
      </w:pPr>
      <w:r>
        <w:rPr>
          <w:rFonts w:hint="eastAsia" w:ascii="宋体" w:eastAsia="宋体"/>
        </w:rPr>
        <w:t>会务服务满意度评价表</w:t>
      </w:r>
      <w:r>
        <w:rPr>
          <w:rFonts w:hint="eastAsia" w:ascii="宋体" w:eastAsia="宋体"/>
          <w:lang w:eastAsia="zh-CN"/>
        </w:rPr>
        <w:t>；</w:t>
      </w:r>
    </w:p>
    <w:p>
      <w:pPr>
        <w:pStyle w:val="133"/>
        <w:rPr>
          <w:rFonts w:hint="eastAsia" w:ascii="宋体" w:eastAsia="宋体"/>
        </w:rPr>
      </w:pPr>
      <w:r>
        <w:rPr>
          <w:rFonts w:hint="eastAsia" w:ascii="宋体" w:eastAsia="宋体"/>
        </w:rPr>
        <w:t>会议服务意见反馈表</w:t>
      </w:r>
      <w:r>
        <w:rPr>
          <w:rFonts w:hint="eastAsia" w:ascii="宋体" w:eastAsia="宋体"/>
          <w:lang w:eastAsia="zh-CN"/>
        </w:rPr>
        <w:t>；</w:t>
      </w:r>
    </w:p>
    <w:p>
      <w:pPr>
        <w:pStyle w:val="133"/>
        <w:rPr>
          <w:rFonts w:hint="eastAsia" w:ascii="宋体" w:eastAsia="宋体"/>
        </w:rPr>
      </w:pPr>
      <w:r>
        <w:rPr>
          <w:rFonts w:hint="eastAsia" w:ascii="宋体" w:eastAsia="宋体"/>
        </w:rPr>
        <w:t>其他应归档保存的相关资料</w:t>
      </w:r>
      <w:r>
        <w:rPr>
          <w:rFonts w:hint="eastAsia" w:ascii="宋体" w:eastAsia="宋体"/>
          <w:lang w:eastAsia="zh-CN"/>
        </w:rPr>
        <w:t>。</w:t>
      </w:r>
    </w:p>
    <w:p>
      <w:pPr>
        <w:pStyle w:val="163"/>
        <w:rPr>
          <w:rFonts w:hint="eastAsia" w:ascii="宋体" w:hAnsi="宋体" w:eastAsia="宋体"/>
        </w:rPr>
      </w:pPr>
      <w:r>
        <w:rPr>
          <w:rFonts w:hint="eastAsia" w:ascii="宋体" w:hAnsi="宋体" w:eastAsia="宋体"/>
        </w:rPr>
        <w:t>档案保存期限按照《机关文件材料归档范围和文书档案保管期限规定》的规定执行</w:t>
      </w:r>
      <w:r>
        <w:rPr>
          <w:rFonts w:hint="eastAsia" w:ascii="宋体" w:hAnsi="宋体" w:eastAsia="宋体"/>
          <w:lang w:eastAsia="zh-CN"/>
        </w:rPr>
        <w:t>。</w:t>
      </w:r>
    </w:p>
    <w:p>
      <w:pPr>
        <w:pStyle w:val="105"/>
        <w:spacing w:before="312" w:after="312"/>
      </w:pPr>
      <w:r>
        <w:rPr>
          <w:rFonts w:hint="eastAsia"/>
        </w:rPr>
        <w:t>设施设备管理</w:t>
      </w:r>
    </w:p>
    <w:p>
      <w:pPr>
        <w:pStyle w:val="163"/>
        <w:rPr>
          <w:rFonts w:hAnsi="宋体"/>
        </w:rPr>
      </w:pPr>
      <w:r>
        <w:rPr>
          <w:rFonts w:hint="eastAsia" w:hAnsi="宋体"/>
        </w:rPr>
        <w:t>会场应具备基本的扩声、灯光、电子屏系统，特殊场所应具备视频投票、表决、报到和电视电话会议系统、手机屏蔽系统及手机屏蔽柜。</w:t>
      </w:r>
    </w:p>
    <w:p>
      <w:pPr>
        <w:pStyle w:val="163"/>
        <w:rPr>
          <w:rFonts w:hAnsi="宋体"/>
        </w:rPr>
      </w:pPr>
      <w:r>
        <w:rPr>
          <w:rFonts w:hint="eastAsia" w:hAnsi="宋体"/>
        </w:rPr>
        <w:t>会场应具备完善的视频监控系统、消防设施设备和安防设施设备，相关设备由专业人员负责操作。</w:t>
      </w:r>
    </w:p>
    <w:p>
      <w:pPr>
        <w:pStyle w:val="163"/>
        <w:rPr>
          <w:rFonts w:hAnsi="宋体"/>
        </w:rPr>
      </w:pPr>
      <w:r>
        <w:rPr>
          <w:rFonts w:hint="eastAsia" w:hAnsi="宋体"/>
        </w:rPr>
        <w:t>会场使用的党徽、国徽、红旗尺寸、吊挂高度、间距应符合国家规范要求。党徽、国徽、红旗旗尖采用不反光漆料制作。红旗旗杆倾斜角度控制在67°至70°之间。</w:t>
      </w:r>
    </w:p>
    <w:p>
      <w:pPr>
        <w:pStyle w:val="163"/>
        <w:rPr>
          <w:rFonts w:hAnsi="宋体"/>
        </w:rPr>
      </w:pPr>
      <w:r>
        <w:rPr>
          <w:rFonts w:hint="eastAsia" w:hAnsi="宋体"/>
        </w:rPr>
        <w:t>会场设施设备应符合国家和行业规定的设计标准，设施设备供应商宜具备质量管理体系认证和环境管理体系认证证书</w:t>
      </w:r>
      <w:r>
        <w:rPr>
          <w:rFonts w:hint="eastAsia" w:hAnsi="宋体"/>
          <w:lang w:eastAsia="zh-CN"/>
        </w:rPr>
        <w:t>。</w:t>
      </w:r>
    </w:p>
    <w:p>
      <w:pPr>
        <w:pStyle w:val="163"/>
        <w:rPr>
          <w:rFonts w:hAnsi="宋体"/>
        </w:rPr>
      </w:pPr>
      <w:r>
        <w:rPr>
          <w:rFonts w:hint="eastAsia" w:hAnsi="宋体"/>
        </w:rPr>
        <w:t>应明确设施设备维保责任，定期检查、维修、保养，保证设施设备安全技术性能符合要求，并做好相应记录</w:t>
      </w:r>
      <w:r>
        <w:rPr>
          <w:rFonts w:hint="eastAsia" w:hAnsi="宋体"/>
          <w:lang w:eastAsia="zh-CN"/>
        </w:rPr>
        <w:t>。</w:t>
      </w:r>
    </w:p>
    <w:bookmarkEnd w:id="61"/>
    <w:bookmarkEnd w:id="62"/>
    <w:bookmarkEnd w:id="63"/>
    <w:p>
      <w:pPr>
        <w:pStyle w:val="105"/>
        <w:spacing w:before="312" w:after="312"/>
      </w:pPr>
      <w:bookmarkStart w:id="64" w:name="_Toc144832110"/>
      <w:r>
        <w:rPr>
          <w:rFonts w:hint="eastAsia"/>
        </w:rPr>
        <w:t>应急</w:t>
      </w:r>
      <w:bookmarkEnd w:id="64"/>
      <w:r>
        <w:rPr>
          <w:rFonts w:hint="eastAsia"/>
          <w:lang w:eastAsia="zh-CN"/>
        </w:rPr>
        <w:t>管理</w:t>
      </w:r>
    </w:p>
    <w:p>
      <w:pPr>
        <w:pStyle w:val="163"/>
        <w:spacing w:before="156" w:beforeLines="50" w:after="156" w:afterLines="50"/>
      </w:pPr>
      <w:r>
        <w:rPr>
          <w:rFonts w:hint="eastAsia" w:ascii="黑体" w:hAnsi="黑体" w:eastAsia="黑体"/>
        </w:rPr>
        <w:t>疑似中毒事件</w:t>
      </w:r>
    </w:p>
    <w:p>
      <w:pPr>
        <w:pStyle w:val="166"/>
        <w:rPr>
          <w:rFonts w:hAnsi="宋体"/>
        </w:rPr>
      </w:pPr>
      <w:r>
        <w:rPr>
          <w:rFonts w:hint="eastAsia" w:hAnsi="宋体"/>
        </w:rPr>
        <w:t>做好会议室客用物品的消毒工作，严格把好卫生关，确保客用物品清洁卫生。</w:t>
      </w:r>
    </w:p>
    <w:p>
      <w:pPr>
        <w:pStyle w:val="166"/>
        <w:rPr>
          <w:rFonts w:hAnsi="宋体"/>
        </w:rPr>
      </w:pPr>
      <w:r>
        <w:rPr>
          <w:rFonts w:hint="eastAsia" w:hAnsi="宋体"/>
        </w:rPr>
        <w:t>一旦发生中毒现象，立即拨打急救中心电话“120”呼救，如医务人员未及时赶来，中毒者有生命危险，应将中毒者送附近医院抢救，并通知会议主办方中毒人员情况。</w:t>
      </w:r>
    </w:p>
    <w:p>
      <w:pPr>
        <w:pStyle w:val="166"/>
        <w:rPr>
          <w:rFonts w:hAnsi="宋体"/>
        </w:rPr>
      </w:pPr>
      <w:r>
        <w:rPr>
          <w:rFonts w:hint="eastAsia" w:hAnsi="宋体"/>
        </w:rPr>
        <w:t>保护中毒者所在现场，不要让任何人触摸有毒或可疑有毒的物品(如:药物、容器、饮品及食物、呕吐物等)。</w:t>
      </w:r>
    </w:p>
    <w:p>
      <w:pPr>
        <w:pStyle w:val="166"/>
        <w:rPr>
          <w:rFonts w:hAnsi="宋体"/>
        </w:rPr>
      </w:pPr>
      <w:r>
        <w:rPr>
          <w:rFonts w:hint="eastAsia" w:hAnsi="宋体"/>
        </w:rPr>
        <w:t>将中毒者的私人物品登记交与警方。</w:t>
      </w:r>
    </w:p>
    <w:p>
      <w:pPr>
        <w:pStyle w:val="166"/>
        <w:rPr>
          <w:rFonts w:hAnsi="宋体"/>
        </w:rPr>
      </w:pPr>
      <w:r>
        <w:rPr>
          <w:rFonts w:hint="eastAsia" w:hAnsi="宋体"/>
        </w:rPr>
        <w:t>维持现场秩序，防止闲杂人员围观。</w:t>
      </w:r>
    </w:p>
    <w:p>
      <w:pPr>
        <w:pStyle w:val="166"/>
        <w:rPr>
          <w:rFonts w:hAnsi="宋体"/>
        </w:rPr>
      </w:pPr>
      <w:r>
        <w:rPr>
          <w:rFonts w:hint="eastAsia" w:hAnsi="宋体"/>
        </w:rPr>
        <w:t>将有关资料(包括警车、救护车到达及离开之时间、警方负责人姓名等资料)登记备案。</w:t>
      </w:r>
    </w:p>
    <w:p>
      <w:pPr>
        <w:pStyle w:val="166"/>
        <w:rPr>
          <w:rFonts w:hAnsi="宋体"/>
        </w:rPr>
      </w:pPr>
      <w:r>
        <w:rPr>
          <w:rFonts w:hint="eastAsia" w:hAnsi="宋体"/>
        </w:rPr>
        <w:t>发现投毒者或可疑人员，立即滞留，交警方处理。</w:t>
      </w:r>
    </w:p>
    <w:p>
      <w:pPr>
        <w:pStyle w:val="163"/>
        <w:spacing w:before="156" w:beforeLines="50" w:after="156" w:afterLines="50"/>
        <w:rPr>
          <w:rFonts w:ascii="黑体" w:hAnsi="黑体" w:eastAsia="黑体"/>
        </w:rPr>
      </w:pPr>
      <w:r>
        <w:rPr>
          <w:rFonts w:hint="eastAsia" w:ascii="黑体" w:hAnsi="黑体" w:eastAsia="黑体"/>
        </w:rPr>
        <w:t>会议室灭火和紧急疏散</w:t>
      </w:r>
    </w:p>
    <w:p>
      <w:pPr>
        <w:pStyle w:val="166"/>
        <w:rPr>
          <w:rFonts w:hAnsi="宋体"/>
        </w:rPr>
      </w:pPr>
      <w:r>
        <w:rPr>
          <w:rFonts w:hint="eastAsia" w:hAnsi="宋体"/>
        </w:rPr>
        <w:t>当发现发生火情时，用最近的灭火器材进行初起火灾扑救，并向会场负责人和消控中心报告。</w:t>
      </w:r>
    </w:p>
    <w:p>
      <w:pPr>
        <w:pStyle w:val="166"/>
        <w:rPr>
          <w:rFonts w:hAnsi="宋体"/>
        </w:rPr>
      </w:pPr>
      <w:r>
        <w:rPr>
          <w:rFonts w:hint="eastAsia" w:hAnsi="宋体"/>
        </w:rPr>
        <w:t>火势较大时，会场服务人员应立即引导参会人员从安全出口撤离至集中疏散点，并协助安保人员清点人数，做好人员情绪稳定工作。</w:t>
      </w:r>
    </w:p>
    <w:p>
      <w:pPr>
        <w:pStyle w:val="166"/>
        <w:rPr>
          <w:rFonts w:hAnsi="宋体"/>
        </w:rPr>
      </w:pPr>
      <w:r>
        <w:rPr>
          <w:rFonts w:hint="eastAsia" w:hAnsi="宋体"/>
        </w:rPr>
        <w:t>会场负责人检查会场撤离情况,确保人员均已安全撤离。</w:t>
      </w:r>
    </w:p>
    <w:p>
      <w:pPr>
        <w:pStyle w:val="163"/>
        <w:spacing w:before="156" w:beforeLines="50" w:after="156" w:afterLines="50"/>
        <w:rPr>
          <w:rFonts w:ascii="黑体" w:hAnsi="黑体" w:eastAsia="黑体"/>
        </w:rPr>
      </w:pPr>
      <w:r>
        <w:rPr>
          <w:rFonts w:hint="eastAsia" w:ascii="黑体" w:hAnsi="黑体" w:eastAsia="黑体"/>
        </w:rPr>
        <w:t>停电</w:t>
      </w:r>
    </w:p>
    <w:p>
      <w:pPr>
        <w:pStyle w:val="166"/>
        <w:rPr>
          <w:rFonts w:hAnsi="宋体"/>
        </w:rPr>
      </w:pPr>
      <w:r>
        <w:rPr>
          <w:rFonts w:hint="eastAsia" w:hAnsi="宋体"/>
        </w:rPr>
        <w:t>停电时，部门负责人应及时了解停电的原因、恢复供电的时间，并在第一线指挥、检查工作。</w:t>
      </w:r>
    </w:p>
    <w:p>
      <w:pPr>
        <w:pStyle w:val="166"/>
        <w:rPr>
          <w:rFonts w:hAnsi="宋体"/>
        </w:rPr>
      </w:pPr>
      <w:r>
        <w:rPr>
          <w:rFonts w:hint="eastAsia" w:hAnsi="宋体"/>
        </w:rPr>
        <w:t>备电筒两只，摆放在服务室内，如遇长时间停电可作应急使用。</w:t>
      </w:r>
    </w:p>
    <w:p>
      <w:pPr>
        <w:pStyle w:val="166"/>
        <w:rPr>
          <w:rFonts w:hAnsi="宋体"/>
        </w:rPr>
      </w:pPr>
      <w:r>
        <w:rPr>
          <w:rFonts w:hint="eastAsia" w:hAnsi="宋体"/>
        </w:rPr>
        <w:t>现场管理人员及时上报相关部门现场情况。</w:t>
      </w:r>
    </w:p>
    <w:p>
      <w:pPr>
        <w:pStyle w:val="166"/>
        <w:rPr>
          <w:rFonts w:hAnsi="宋体"/>
        </w:rPr>
      </w:pPr>
      <w:r>
        <w:rPr>
          <w:rFonts w:hint="eastAsia" w:hAnsi="宋体"/>
        </w:rPr>
        <w:t>所有员工应各就各位，不可离开工作场所，应向参会人员做好解释工作。</w:t>
      </w:r>
    </w:p>
    <w:p>
      <w:pPr>
        <w:pStyle w:val="166"/>
        <w:rPr>
          <w:rFonts w:hAnsi="宋体"/>
        </w:rPr>
      </w:pPr>
      <w:r>
        <w:rPr>
          <w:rFonts w:hint="eastAsia" w:hAnsi="宋体"/>
        </w:rPr>
        <w:t>现场负责人到有会议的会议室做好解释及道歉工作。</w:t>
      </w:r>
    </w:p>
    <w:p>
      <w:pPr>
        <w:pStyle w:val="166"/>
        <w:rPr>
          <w:rFonts w:hAnsi="宋体"/>
        </w:rPr>
      </w:pPr>
      <w:r>
        <w:rPr>
          <w:rFonts w:hint="eastAsia" w:hAnsi="宋体"/>
        </w:rPr>
        <w:t>停电时间较长，服务员可指引参会人员沿安全通道到会场外。</w:t>
      </w:r>
    </w:p>
    <w:p>
      <w:pPr>
        <w:pStyle w:val="166"/>
        <w:rPr>
          <w:rFonts w:hAnsi="宋体"/>
        </w:rPr>
      </w:pPr>
      <w:r>
        <w:rPr>
          <w:rFonts w:hint="eastAsia" w:hAnsi="宋体"/>
        </w:rPr>
        <w:t>全天工作结束，供电还未恢复，管理人员应再次检查工作岗位，确保关闭所有电源，保障安全。</w:t>
      </w:r>
    </w:p>
    <w:p>
      <w:pPr>
        <w:pStyle w:val="163"/>
        <w:spacing w:before="156" w:beforeLines="50" w:after="156" w:afterLines="50"/>
        <w:rPr>
          <w:rFonts w:ascii="黑体" w:hAnsi="黑体" w:eastAsia="黑体"/>
        </w:rPr>
      </w:pPr>
      <w:r>
        <w:rPr>
          <w:rFonts w:hint="eastAsia" w:ascii="黑体" w:hAnsi="黑体" w:eastAsia="黑体"/>
        </w:rPr>
        <w:t>紧急性停水</w:t>
      </w:r>
    </w:p>
    <w:p>
      <w:pPr>
        <w:pStyle w:val="166"/>
        <w:rPr>
          <w:rFonts w:hAnsi="宋体"/>
        </w:rPr>
      </w:pPr>
      <w:r>
        <w:rPr>
          <w:rFonts w:hint="eastAsia" w:hAnsi="宋体"/>
        </w:rPr>
        <w:t>发现停水情况，应立即联系维修中心询问停水原因、停水时间长短、停水区域。</w:t>
      </w:r>
    </w:p>
    <w:p>
      <w:pPr>
        <w:pStyle w:val="166"/>
        <w:rPr>
          <w:rFonts w:hAnsi="宋体"/>
        </w:rPr>
      </w:pPr>
      <w:r>
        <w:rPr>
          <w:rFonts w:hint="eastAsia" w:hAnsi="宋体"/>
        </w:rPr>
        <w:t>根据情况，如果是单位内部因故障局部区域停水，应查明停水原因，及时抢修，在最短时间内消除故障，尽快恢复供水。会议中心应立即召集人员前往没有停水的区域进行备水运水，保障会议正常接待。</w:t>
      </w:r>
    </w:p>
    <w:p>
      <w:pPr>
        <w:pStyle w:val="166"/>
        <w:rPr>
          <w:rFonts w:hAnsi="宋体"/>
        </w:rPr>
      </w:pPr>
      <w:r>
        <w:rPr>
          <w:rFonts w:hint="eastAsia" w:hAnsi="宋体"/>
        </w:rPr>
        <w:t>如果是供水公司紧急停水，应立即电话询问供水公司，问明停水原因、供水时间，并第一时间通知停水期间所有会议的主办单位，讲明停水原因、停水时间、供水时间及会议中心备水情况，使主办单位根据情况提前做好会议准备，配合主办单位完成会议接待。</w:t>
      </w:r>
    </w:p>
    <w:p>
      <w:pPr>
        <w:pStyle w:val="163"/>
        <w:spacing w:before="156" w:beforeLines="50" w:after="156" w:afterLines="50"/>
        <w:rPr>
          <w:rFonts w:ascii="黑体" w:hAnsi="黑体" w:eastAsia="黑体"/>
        </w:rPr>
      </w:pPr>
      <w:r>
        <w:rPr>
          <w:rFonts w:hint="eastAsia" w:ascii="黑体" w:hAnsi="黑体" w:eastAsia="黑体"/>
        </w:rPr>
        <w:t>音视频设施设备故障</w:t>
      </w:r>
    </w:p>
    <w:p>
      <w:pPr>
        <w:pStyle w:val="166"/>
        <w:rPr>
          <w:rFonts w:hAnsi="宋体"/>
        </w:rPr>
      </w:pPr>
      <w:r>
        <w:rPr>
          <w:rFonts w:hint="eastAsia" w:hAnsi="宋体"/>
        </w:rPr>
        <w:t>会议室门头、电子屏、LED发现故障，应第一时间联系相关单位，请他们安排人员检查并检修，同时和会议主办单位作好解释工作，及时向主办单位报告检查结果。</w:t>
      </w:r>
    </w:p>
    <w:p>
      <w:pPr>
        <w:pStyle w:val="166"/>
        <w:rPr>
          <w:rFonts w:hAnsi="宋体"/>
        </w:rPr>
      </w:pPr>
      <w:r>
        <w:rPr>
          <w:rFonts w:hint="eastAsia" w:hAnsi="宋体"/>
        </w:rPr>
        <w:t>会议期间发现有话筒、音响等设备发出噪音或者静音的情况，应第一时间告诉相关单位现场工作人员，立即启用备用设备，排查故障，及时抢修，保证会议正常进行。</w:t>
      </w:r>
    </w:p>
    <w:p>
      <w:pPr>
        <w:pStyle w:val="166"/>
        <w:rPr>
          <w:rFonts w:hAnsi="宋体"/>
        </w:rPr>
      </w:pPr>
      <w:r>
        <w:rPr>
          <w:rFonts w:hint="eastAsia" w:hAnsi="宋体"/>
        </w:rPr>
        <w:t>会议期间发现会议室外有噪音的情况，应立即拨打报修电话，联系相关人员进行检查，发现噪音源应立即制止，告知噪音已经影响会议，马上消除噪音。</w:t>
      </w:r>
    </w:p>
    <w:p>
      <w:pPr>
        <w:pStyle w:val="166"/>
        <w:rPr>
          <w:rFonts w:hAnsi="宋体"/>
        </w:rPr>
      </w:pPr>
      <w:r>
        <w:rPr>
          <w:rFonts w:hint="eastAsia" w:hAnsi="宋体"/>
        </w:rPr>
        <w:t>当问题比较紧急时可先报修再向上级主管汇报，正常情况是先汇报上级主管再进行处理。</w:t>
      </w:r>
    </w:p>
    <w:p>
      <w:pPr>
        <w:pStyle w:val="163"/>
        <w:spacing w:before="156" w:beforeLines="50" w:after="156" w:afterLines="50"/>
        <w:rPr>
          <w:rFonts w:ascii="黑体" w:hAnsi="黑体" w:eastAsia="黑体"/>
        </w:rPr>
      </w:pPr>
      <w:r>
        <w:rPr>
          <w:rFonts w:ascii="黑体" w:hAnsi="黑体" w:eastAsia="黑体"/>
        </w:rPr>
        <w:t>会中水杯倾倒洒水</w:t>
      </w:r>
    </w:p>
    <w:p>
      <w:pPr>
        <w:pStyle w:val="166"/>
        <w:rPr>
          <w:rFonts w:hAnsi="宋体"/>
        </w:rPr>
      </w:pPr>
      <w:r>
        <w:rPr>
          <w:rFonts w:hint="eastAsia" w:hAnsi="宋体"/>
        </w:rPr>
        <w:t>会议期间发现洒水情况，应立即启用备用物品，第一时间去清理现场。</w:t>
      </w:r>
    </w:p>
    <w:p>
      <w:pPr>
        <w:pStyle w:val="166"/>
        <w:rPr>
          <w:rFonts w:hAnsi="宋体"/>
        </w:rPr>
      </w:pPr>
      <w:r>
        <w:rPr>
          <w:rFonts w:hint="eastAsia" w:hAnsi="宋体"/>
        </w:rPr>
        <w:t>询问参会人员是否有烫伤情况，如有轻微烫伤，用烫伤膏涂抹。</w:t>
      </w:r>
    </w:p>
    <w:p>
      <w:pPr>
        <w:pStyle w:val="166"/>
        <w:rPr>
          <w:rFonts w:hAnsi="宋体"/>
        </w:rPr>
      </w:pPr>
      <w:r>
        <w:rPr>
          <w:rFonts w:hint="eastAsia" w:hAnsi="宋体"/>
        </w:rPr>
        <w:t>将纸巾、毛巾给参会人员擦拭衣服。</w:t>
      </w:r>
    </w:p>
    <w:p>
      <w:pPr>
        <w:pStyle w:val="166"/>
        <w:rPr>
          <w:rFonts w:hAnsi="宋体"/>
        </w:rPr>
      </w:pPr>
      <w:r>
        <w:rPr>
          <w:rFonts w:hint="eastAsia" w:hAnsi="宋体"/>
        </w:rPr>
        <w:t>将打翻的杯具、茶叶及时清理干净。</w:t>
      </w:r>
    </w:p>
    <w:p>
      <w:pPr>
        <w:pStyle w:val="166"/>
        <w:rPr>
          <w:rFonts w:hAnsi="宋体"/>
        </w:rPr>
      </w:pPr>
      <w:r>
        <w:rPr>
          <w:rFonts w:hint="eastAsia" w:hAnsi="宋体"/>
        </w:rPr>
        <w:t>用抹布将桌子、椅子、地毯擦拭干净。</w:t>
      </w:r>
    </w:p>
    <w:p>
      <w:pPr>
        <w:pStyle w:val="166"/>
        <w:rPr>
          <w:rFonts w:hAnsi="宋体"/>
        </w:rPr>
      </w:pPr>
      <w:r>
        <w:rPr>
          <w:rFonts w:hint="eastAsia" w:hAnsi="宋体"/>
        </w:rPr>
        <w:t>把新的茶具摆放到位，泡好水。</w:t>
      </w:r>
    </w:p>
    <w:p>
      <w:pPr>
        <w:pStyle w:val="166"/>
        <w:rPr>
          <w:rFonts w:hAnsi="宋体"/>
        </w:rPr>
      </w:pPr>
      <w:r>
        <w:rPr>
          <w:rFonts w:hint="eastAsia" w:hAnsi="宋体"/>
        </w:rPr>
        <w:t>将撤下来的物品送至服务间进行清洁整理。</w:t>
      </w:r>
    </w:p>
    <w:p>
      <w:pPr>
        <w:pStyle w:val="163"/>
        <w:spacing w:before="156" w:beforeLines="50" w:after="156" w:afterLines="50"/>
        <w:rPr>
          <w:rFonts w:ascii="黑体" w:hAnsi="黑体" w:eastAsia="黑体"/>
        </w:rPr>
      </w:pPr>
      <w:r>
        <w:rPr>
          <w:rFonts w:ascii="黑体" w:hAnsi="黑体" w:eastAsia="黑体"/>
        </w:rPr>
        <w:t>参会人员临时增加</w:t>
      </w:r>
    </w:p>
    <w:p>
      <w:pPr>
        <w:pStyle w:val="166"/>
        <w:rPr>
          <w:rFonts w:hAnsi="宋体"/>
        </w:rPr>
      </w:pPr>
      <w:r>
        <w:rPr>
          <w:rFonts w:hint="eastAsia" w:hAnsi="宋体"/>
        </w:rPr>
        <w:t>主办单位会前布置会场时通知服务员临时增加参会人数的情况，根据增加人数，原定会议室能够满足要求的情况下，进行桌椅、茶具等物品的补充。</w:t>
      </w:r>
    </w:p>
    <w:p>
      <w:pPr>
        <w:pStyle w:val="166"/>
        <w:rPr>
          <w:rFonts w:hAnsi="宋体"/>
        </w:rPr>
      </w:pPr>
      <w:r>
        <w:rPr>
          <w:rFonts w:hint="eastAsia" w:hAnsi="宋体"/>
        </w:rPr>
        <w:t>主办单位会前布置会场时通知服务员临时增加参会人数的情况，根据增加人数，原定会议室不能够满足的情况下，要立即告诉主办单位因会议室太小不能满足加桌椅的要求，并推荐合适的会议室，征求主办方意见，做好调整会议室的准备。</w:t>
      </w:r>
    </w:p>
    <w:p>
      <w:pPr>
        <w:pStyle w:val="166"/>
        <w:rPr>
          <w:rFonts w:hAnsi="宋体"/>
        </w:rPr>
      </w:pPr>
      <w:r>
        <w:rPr>
          <w:rFonts w:hint="eastAsia" w:hAnsi="宋体"/>
        </w:rPr>
        <w:t>出现会议开始前，会议室内座位已经坐满，还有参会人员进入会议室的情况，应立即向主管请求支援，增加桌椅请参会人员入座，并送上茶水，保证会议正常进行。</w:t>
      </w:r>
    </w:p>
    <w:p>
      <w:pPr>
        <w:pStyle w:val="163"/>
        <w:spacing w:before="156" w:beforeLines="50" w:after="156" w:afterLines="50"/>
        <w:rPr>
          <w:rFonts w:ascii="黑体" w:hAnsi="黑体" w:eastAsia="黑体"/>
        </w:rPr>
      </w:pPr>
      <w:r>
        <w:rPr>
          <w:rFonts w:hint="eastAsia" w:ascii="黑体" w:hAnsi="黑体" w:eastAsia="黑体"/>
        </w:rPr>
        <w:t>下班临时加会</w:t>
      </w:r>
    </w:p>
    <w:p>
      <w:pPr>
        <w:pStyle w:val="166"/>
        <w:rPr>
          <w:rFonts w:hAnsi="宋体"/>
        </w:rPr>
      </w:pPr>
      <w:r>
        <w:rPr>
          <w:rFonts w:hint="eastAsia" w:hAnsi="宋体"/>
        </w:rPr>
        <w:t>班组成立以主管为首的应急接待小组，主管为应急接待小组组长；领班为副组长1名；员工组员3名。</w:t>
      </w:r>
    </w:p>
    <w:p>
      <w:pPr>
        <w:pStyle w:val="166"/>
        <w:rPr>
          <w:rFonts w:hAnsi="宋体"/>
        </w:rPr>
      </w:pPr>
      <w:r>
        <w:rPr>
          <w:rFonts w:hint="eastAsia" w:hAnsi="宋体"/>
        </w:rPr>
        <w:t>下班后临时接到加会通知，根据会议时间、地点、人数，安排应急小组人员第一时间(30min内)赶往单位负责会议接待。</w:t>
      </w:r>
    </w:p>
    <w:p>
      <w:pPr>
        <w:pStyle w:val="166"/>
        <w:rPr>
          <w:rFonts w:hAnsi="宋体"/>
        </w:rPr>
      </w:pPr>
      <w:r>
        <w:rPr>
          <w:rFonts w:hint="eastAsia" w:hAnsi="宋体"/>
        </w:rPr>
        <w:t>特别紧急的情况下可提前把门禁打开,让主办单位的人先进入会议室开灯布置会场，应急接待人员到达会场后进行茶水服务。</w:t>
      </w:r>
    </w:p>
    <w:p>
      <w:pPr>
        <w:pStyle w:val="163"/>
        <w:spacing w:before="156" w:beforeLines="50" w:after="156" w:afterLines="50"/>
        <w:rPr>
          <w:rFonts w:ascii="黑体" w:hAnsi="黑体" w:eastAsia="黑体"/>
        </w:rPr>
      </w:pPr>
      <w:r>
        <w:rPr>
          <w:rFonts w:hint="eastAsia" w:ascii="黑体" w:hAnsi="黑体" w:eastAsia="黑体"/>
        </w:rPr>
        <w:t>遭现场投诉</w:t>
      </w:r>
    </w:p>
    <w:p>
      <w:pPr>
        <w:pStyle w:val="166"/>
        <w:rPr>
          <w:rFonts w:hAnsi="宋体"/>
        </w:rPr>
      </w:pPr>
      <w:r>
        <w:rPr>
          <w:rFonts w:hint="eastAsia" w:hAnsi="宋体"/>
        </w:rPr>
        <w:t>应耐心倾听，让参会人员把话说完，向参会人员致歉，令参会人员情绪平静下来。</w:t>
      </w:r>
    </w:p>
    <w:p>
      <w:pPr>
        <w:pStyle w:val="166"/>
        <w:rPr>
          <w:rFonts w:hAnsi="宋体"/>
        </w:rPr>
      </w:pPr>
      <w:r>
        <w:rPr>
          <w:rFonts w:hint="eastAsia" w:hAnsi="宋体"/>
        </w:rPr>
        <w:t>将投诉意见记下来上报上级领导，如果情况紧急需及时向上汇报。</w:t>
      </w:r>
    </w:p>
    <w:p>
      <w:pPr>
        <w:pStyle w:val="166"/>
        <w:rPr>
          <w:rFonts w:hAnsi="宋体"/>
        </w:rPr>
      </w:pPr>
      <w:r>
        <w:rPr>
          <w:rFonts w:hint="eastAsia" w:hAnsi="宋体"/>
        </w:rPr>
        <w:t>详细了解情况，作出具体分析。如果是设备问题，应采取措施立即维修。</w:t>
      </w:r>
    </w:p>
    <w:p>
      <w:pPr>
        <w:pStyle w:val="166"/>
        <w:rPr>
          <w:rFonts w:hAnsi="宋体"/>
        </w:rPr>
      </w:pPr>
      <w:r>
        <w:rPr>
          <w:rFonts w:hint="eastAsia" w:hAnsi="宋体"/>
        </w:rPr>
        <w:t>如果参会人员尚未离开会议室，应该给参会人员一个答复,让参会人员知道我们已经作出处理。如果是我们的工作失误，应第一时间向参会人员道歉，必要时由部门负责人向参会人员作出道歉，让参会人员感受到他得到了应有的重视。</w:t>
      </w:r>
    </w:p>
    <w:p>
      <w:pPr>
        <w:pStyle w:val="166"/>
        <w:rPr>
          <w:rFonts w:hAnsi="宋体"/>
        </w:rPr>
      </w:pPr>
      <w:r>
        <w:rPr>
          <w:rFonts w:hint="eastAsia" w:hAnsi="宋体"/>
        </w:rPr>
        <w:t>书面投诉时，应虚心接受对方意见和建议，及时上报当班主管或者负责人，采纳意见并纠正自身不足，并以书面形式回复参会人员取得参会人员谅解。</w:t>
      </w:r>
    </w:p>
    <w:p>
      <w:pPr>
        <w:pStyle w:val="166"/>
        <w:rPr>
          <w:rFonts w:hAnsi="宋体"/>
        </w:rPr>
      </w:pPr>
      <w:r>
        <w:rPr>
          <w:rFonts w:hint="eastAsia" w:hAnsi="宋体"/>
        </w:rPr>
        <w:t>重视参会人员的侧面投诉，必要时向上级领导反映，以便改进服务工作。</w:t>
      </w:r>
    </w:p>
    <w:p>
      <w:pPr>
        <w:pStyle w:val="166"/>
        <w:rPr>
          <w:rFonts w:hAnsi="宋体"/>
        </w:rPr>
      </w:pPr>
      <w:r>
        <w:rPr>
          <w:rFonts w:hint="eastAsia" w:hAnsi="宋体"/>
        </w:rPr>
        <w:t>做好投诉和处理过程的记录,以便分析宾客投诉的原因，防止类似的投诉再次发生。</w:t>
      </w:r>
    </w:p>
    <w:p>
      <w:pPr>
        <w:pStyle w:val="163"/>
        <w:spacing w:before="156" w:beforeLines="50" w:after="156" w:afterLines="50"/>
        <w:rPr>
          <w:rFonts w:ascii="黑体" w:hAnsi="黑体" w:eastAsia="黑体"/>
        </w:rPr>
      </w:pPr>
      <w:r>
        <w:rPr>
          <w:rFonts w:hint="eastAsia" w:ascii="黑体" w:hAnsi="黑体" w:eastAsia="黑体"/>
        </w:rPr>
        <w:t>参会人员要求换会议室</w:t>
      </w:r>
    </w:p>
    <w:p>
      <w:pPr>
        <w:pStyle w:val="166"/>
        <w:rPr>
          <w:rFonts w:hAnsi="宋体"/>
        </w:rPr>
      </w:pPr>
      <w:r>
        <w:rPr>
          <w:rFonts w:hint="eastAsia" w:hAnsi="宋体"/>
        </w:rPr>
        <w:t>了解参会人员更换会议室的原因，并上报当班主管。</w:t>
      </w:r>
    </w:p>
    <w:p>
      <w:pPr>
        <w:pStyle w:val="166"/>
        <w:rPr>
          <w:rFonts w:hAnsi="宋体"/>
        </w:rPr>
      </w:pPr>
      <w:r>
        <w:rPr>
          <w:rFonts w:hint="eastAsia" w:hAnsi="宋体"/>
        </w:rPr>
        <w:t>与预订处联系，说明情况，了解会议室能否更换。</w:t>
      </w:r>
    </w:p>
    <w:p>
      <w:pPr>
        <w:pStyle w:val="166"/>
        <w:rPr>
          <w:rFonts w:hAnsi="宋体"/>
        </w:rPr>
      </w:pPr>
      <w:r>
        <w:rPr>
          <w:rFonts w:hint="eastAsia" w:hAnsi="宋体"/>
        </w:rPr>
        <w:t>如果可以更换及时做好会议室的更换布置工作。</w:t>
      </w:r>
    </w:p>
    <w:p>
      <w:pPr>
        <w:pStyle w:val="166"/>
        <w:rPr>
          <w:rFonts w:hAnsi="宋体"/>
        </w:rPr>
      </w:pPr>
      <w:r>
        <w:rPr>
          <w:rFonts w:hint="eastAsia" w:hAnsi="宋体"/>
        </w:rPr>
        <w:t>如果不可以更换要及时向参会人员说明原因，尽量让参会人员理解并接受。</w:t>
      </w:r>
    </w:p>
    <w:p>
      <w:pPr>
        <w:pStyle w:val="105"/>
        <w:spacing w:before="312" w:after="312"/>
      </w:pPr>
      <w:bookmarkStart w:id="65" w:name="_Toc144832111"/>
      <w:bookmarkStart w:id="66" w:name="_Toc122465435"/>
      <w:bookmarkStart w:id="67" w:name="_Toc122462202"/>
      <w:bookmarkStart w:id="68" w:name="_Toc122462211"/>
      <w:r>
        <w:rPr>
          <w:rFonts w:hint="eastAsia"/>
          <w:lang w:eastAsia="zh-CN"/>
        </w:rPr>
        <w:t>安全保密管理</w:t>
      </w:r>
    </w:p>
    <w:p>
      <w:pPr>
        <w:pStyle w:val="163"/>
        <w:spacing w:before="156" w:beforeLines="50" w:after="156" w:afterLines="5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安全管理</w:t>
      </w:r>
    </w:p>
    <w:p>
      <w:pPr>
        <w:pStyle w:val="166"/>
        <w:rPr>
          <w:rFonts w:hint="eastAsia"/>
        </w:rPr>
      </w:pPr>
      <w:r>
        <w:rPr>
          <w:rFonts w:hint="eastAsia" w:ascii="宋体" w:hAnsi="宋体" w:eastAsia="宋体"/>
          <w:lang w:val="en-US" w:eastAsia="zh-CN"/>
        </w:rPr>
        <w:t>应建立健全安全管理制度。</w:t>
      </w:r>
    </w:p>
    <w:p>
      <w:pPr>
        <w:pStyle w:val="166"/>
        <w:rPr>
          <w:rFonts w:hint="eastAsia"/>
        </w:rPr>
      </w:pPr>
      <w:r>
        <w:rPr>
          <w:rFonts w:hint="eastAsia"/>
        </w:rPr>
        <w:t>制定消防疏散应急预案和突发事件应急处置方案，在会议室显著位置设置安全疏散示意图。突发事件应急处置方案按附录I的规定执行。</w:t>
      </w:r>
    </w:p>
    <w:p>
      <w:pPr>
        <w:pStyle w:val="166"/>
        <w:rPr>
          <w:rFonts w:hint="eastAsia"/>
        </w:rPr>
      </w:pPr>
      <w:r>
        <w:rPr>
          <w:rFonts w:hint="eastAsia"/>
        </w:rPr>
        <w:t>会议开始前对电梯等进行安全隐患排查，发现问题及时整改。</w:t>
      </w:r>
    </w:p>
    <w:p>
      <w:pPr>
        <w:pStyle w:val="166"/>
        <w:rPr>
          <w:rFonts w:hint="eastAsia"/>
        </w:rPr>
      </w:pPr>
      <w:r>
        <w:rPr>
          <w:rFonts w:hint="eastAsia"/>
        </w:rPr>
        <w:t>做好各项季节性安全事故和自然性灾害的防控措施。</w:t>
      </w:r>
    </w:p>
    <w:p>
      <w:pPr>
        <w:pStyle w:val="166"/>
        <w:rPr>
          <w:rFonts w:hint="eastAsia"/>
        </w:rPr>
      </w:pPr>
      <w:r>
        <w:rPr>
          <w:rFonts w:hint="eastAsia"/>
        </w:rPr>
        <w:t>定期组织工作人员进行安全知识、应急救援知识教育和应急演练</w:t>
      </w:r>
      <w:r>
        <w:rPr>
          <w:rFonts w:hint="eastAsia"/>
          <w:lang w:eastAsia="zh-CN"/>
        </w:rPr>
        <w:t>。</w:t>
      </w:r>
    </w:p>
    <w:p>
      <w:pPr>
        <w:pStyle w:val="166"/>
        <w:rPr>
          <w:rFonts w:hint="eastAsia"/>
        </w:rPr>
      </w:pPr>
      <w:r>
        <w:rPr>
          <w:rFonts w:hint="eastAsia"/>
        </w:rPr>
        <w:t>进行安全巡查时应按规定路线行进，2个人以上巡逻时要保持队形整齐。发现问题时要采取有效措施处置或控制并及时报告，事后要做好记录。</w:t>
      </w:r>
    </w:p>
    <w:p>
      <w:pPr>
        <w:pStyle w:val="166"/>
        <w:rPr>
          <w:rFonts w:hint="eastAsia"/>
        </w:rPr>
      </w:pPr>
      <w:r>
        <w:rPr>
          <w:rFonts w:hint="eastAsia"/>
        </w:rPr>
        <w:t>监控岗应按照规定时间、范围，集中精力严密观察，对异常可疑情况及时向负责部门反馈处理，并进行必要的取证，作好记录。</w:t>
      </w:r>
    </w:p>
    <w:p>
      <w:pPr>
        <w:pStyle w:val="166"/>
        <w:rPr>
          <w:rFonts w:hint="eastAsia"/>
        </w:rPr>
      </w:pPr>
      <w:r>
        <w:rPr>
          <w:rFonts w:hint="eastAsia"/>
        </w:rPr>
        <w:t>监控岗应严守工作纪律，无关人员不应进入监控室，因工作需要进入监控室的人员应做好记录。</w:t>
      </w:r>
    </w:p>
    <w:p>
      <w:pPr>
        <w:pStyle w:val="163"/>
        <w:spacing w:before="156" w:beforeLines="50" w:after="156" w:afterLines="5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保密管理</w:t>
      </w:r>
    </w:p>
    <w:p>
      <w:pPr>
        <w:pStyle w:val="166"/>
        <w:rPr>
          <w:rFonts w:hint="eastAsia"/>
        </w:rPr>
      </w:pPr>
      <w:r>
        <w:rPr>
          <w:rFonts w:hint="eastAsia" w:ascii="宋体" w:hAnsi="宋体" w:eastAsia="宋体"/>
          <w:lang w:val="en-US" w:eastAsia="zh-CN"/>
        </w:rPr>
        <w:t>应根据会议级别制定相应的保密措施。</w:t>
      </w:r>
    </w:p>
    <w:p>
      <w:pPr>
        <w:pStyle w:val="166"/>
        <w:rPr>
          <w:rFonts w:hint="eastAsia"/>
        </w:rPr>
      </w:pPr>
      <w:r>
        <w:rPr>
          <w:rFonts w:hint="eastAsia"/>
        </w:rPr>
        <w:t>应对会议服务人员进行保密教育，明确会议服务人员的保密纪律、责任和义务，明确会议保密工作的责任人。</w:t>
      </w:r>
    </w:p>
    <w:p>
      <w:pPr>
        <w:pStyle w:val="166"/>
        <w:rPr>
          <w:rFonts w:hint="eastAsia"/>
        </w:rPr>
      </w:pPr>
      <w:r>
        <w:rPr>
          <w:rFonts w:hint="eastAsia"/>
        </w:rPr>
        <w:t>会议开始前，协助会议主办单位对会议场地及将要提供会议使用的通信、办公、扩音设备的保密性能进行安全保密检查。</w:t>
      </w:r>
    </w:p>
    <w:p>
      <w:pPr>
        <w:pStyle w:val="166"/>
        <w:rPr>
          <w:rFonts w:hint="eastAsia"/>
        </w:rPr>
      </w:pPr>
      <w:r>
        <w:rPr>
          <w:rFonts w:hint="eastAsia"/>
        </w:rPr>
        <w:t>会议进行时，杜绝无关人员进入会场，巡视检查有无违反保密规定、保密纪律的行为和泄密隐患。</w:t>
      </w:r>
    </w:p>
    <w:p>
      <w:pPr>
        <w:pStyle w:val="166"/>
        <w:rPr>
          <w:rFonts w:hint="eastAsia"/>
        </w:rPr>
      </w:pPr>
      <w:r>
        <w:rPr>
          <w:rFonts w:hint="eastAsia"/>
        </w:rPr>
        <w:t>会议结束后，协助会议主办单位对会场进行检查，防止遗留会议文件、资料或其他物品。</w:t>
      </w:r>
    </w:p>
    <w:p>
      <w:pPr>
        <w:pStyle w:val="105"/>
        <w:spacing w:before="312" w:after="312"/>
      </w:pPr>
      <w:r>
        <w:rPr>
          <w:rFonts w:hint="eastAsia"/>
        </w:rPr>
        <w:t>服务评价与改进</w:t>
      </w:r>
      <w:bookmarkEnd w:id="65"/>
    </w:p>
    <w:p>
      <w:pPr>
        <w:pStyle w:val="163"/>
        <w:spacing w:before="156" w:beforeLines="50" w:after="156" w:afterLines="5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服务评价</w:t>
      </w:r>
    </w:p>
    <w:p>
      <w:pPr>
        <w:pStyle w:val="166"/>
        <w:rPr>
          <w:rFonts w:hint="eastAsia" w:ascii="宋体" w:hAnsi="宋体" w:eastAsia="宋体"/>
        </w:rPr>
      </w:pPr>
      <w:r>
        <w:rPr>
          <w:rFonts w:hint="eastAsia"/>
        </w:rPr>
        <w:t>应建立全面有效的服务评价管理制度，《会务服务满意度评价表》见附录</w:t>
      </w:r>
      <w:r>
        <w:rPr>
          <w:rFonts w:hint="eastAsia"/>
          <w:lang w:val="en-US" w:eastAsia="zh-CN"/>
        </w:rPr>
        <w:t>F</w:t>
      </w:r>
      <w:r>
        <w:rPr>
          <w:rFonts w:hint="eastAsia"/>
          <w:lang w:eastAsia="zh-CN"/>
        </w:rPr>
        <w:t>。</w:t>
      </w:r>
    </w:p>
    <w:p>
      <w:pPr>
        <w:pStyle w:val="166"/>
        <w:rPr>
          <w:rFonts w:hint="eastAsia" w:ascii="宋体" w:hAnsi="宋体" w:eastAsia="宋体"/>
        </w:rPr>
      </w:pPr>
      <w:r>
        <w:rPr>
          <w:rFonts w:hint="eastAsia"/>
        </w:rPr>
        <w:t>评价指标应包括但不限于</w:t>
      </w:r>
      <w:r>
        <w:rPr>
          <w:rFonts w:hint="eastAsia"/>
          <w:lang w:eastAsia="zh-CN"/>
        </w:rPr>
        <w:t>：</w:t>
      </w:r>
    </w:p>
    <w:p>
      <w:pPr>
        <w:pStyle w:val="133"/>
      </w:pPr>
      <w:r>
        <w:rPr>
          <w:rFonts w:hint="eastAsia"/>
        </w:rPr>
        <w:t>服务对象满意度;</w:t>
      </w:r>
    </w:p>
    <w:p>
      <w:pPr>
        <w:pStyle w:val="133"/>
      </w:pPr>
      <w:r>
        <w:rPr>
          <w:rFonts w:hint="eastAsia"/>
        </w:rPr>
        <w:t>服务时间准确率;</w:t>
      </w:r>
    </w:p>
    <w:p>
      <w:pPr>
        <w:pStyle w:val="133"/>
      </w:pPr>
      <w:r>
        <w:rPr>
          <w:rFonts w:hint="eastAsia"/>
        </w:rPr>
        <w:t>服务项目完成率</w:t>
      </w:r>
      <w:r>
        <w:rPr>
          <w:rFonts w:hint="eastAsia"/>
          <w:lang w:eastAsia="zh-CN"/>
        </w:rPr>
        <w:t>；</w:t>
      </w:r>
    </w:p>
    <w:p>
      <w:pPr>
        <w:pStyle w:val="133"/>
      </w:pPr>
      <w:r>
        <w:rPr>
          <w:rFonts w:hint="eastAsia"/>
        </w:rPr>
        <w:t>有效投诉结案率</w:t>
      </w:r>
      <w:r>
        <w:rPr>
          <w:rFonts w:hint="eastAsia"/>
          <w:lang w:eastAsia="zh-CN"/>
        </w:rPr>
        <w:t>。</w:t>
      </w:r>
    </w:p>
    <w:p>
      <w:pPr>
        <w:pStyle w:val="166"/>
        <w:rPr>
          <w:rFonts w:hint="eastAsia" w:ascii="宋体" w:eastAsia="宋体"/>
        </w:rPr>
      </w:pPr>
      <w:r>
        <w:rPr>
          <w:rFonts w:hint="eastAsia" w:ascii="宋体" w:eastAsia="宋体"/>
        </w:rPr>
        <w:t>评价途径应包括但不限于</w:t>
      </w:r>
      <w:r>
        <w:rPr>
          <w:rFonts w:hint="eastAsia" w:ascii="宋体" w:eastAsia="宋体"/>
          <w:lang w:eastAsia="zh-CN"/>
        </w:rPr>
        <w:t>：</w:t>
      </w:r>
    </w:p>
    <w:p>
      <w:pPr>
        <w:pStyle w:val="133"/>
        <w:rPr>
          <w:rFonts w:hint="eastAsia" w:ascii="宋体" w:eastAsia="宋体"/>
        </w:rPr>
      </w:pPr>
      <w:r>
        <w:rPr>
          <w:rFonts w:hint="eastAsia" w:ascii="宋体" w:eastAsia="宋体"/>
        </w:rPr>
        <w:t>征求会议主办单位的意见和建议，填写《会议服务意见反馈表》见附录</w:t>
      </w:r>
      <w:r>
        <w:rPr>
          <w:rFonts w:hint="eastAsia" w:ascii="宋体" w:eastAsia="宋体"/>
          <w:lang w:val="en-US" w:eastAsia="zh-CN"/>
        </w:rPr>
        <w:t>G</w:t>
      </w:r>
      <w:r>
        <w:rPr>
          <w:rFonts w:hint="eastAsia" w:ascii="宋体" w:eastAsia="宋体"/>
        </w:rPr>
        <w:t>:</w:t>
      </w:r>
    </w:p>
    <w:p>
      <w:pPr>
        <w:pStyle w:val="133"/>
        <w:rPr>
          <w:rFonts w:hint="eastAsia" w:ascii="宋体" w:eastAsia="宋体"/>
        </w:rPr>
      </w:pPr>
      <w:r>
        <w:rPr>
          <w:rFonts w:hint="eastAsia" w:ascii="宋体" w:eastAsia="宋体"/>
        </w:rPr>
        <w:t>走访参会人员，征求对会议服务的意见和建议;</w:t>
      </w:r>
    </w:p>
    <w:p>
      <w:pPr>
        <w:pStyle w:val="133"/>
        <w:rPr>
          <w:rFonts w:hint="eastAsia" w:ascii="宋体" w:eastAsia="宋体"/>
        </w:rPr>
      </w:pPr>
      <w:r>
        <w:rPr>
          <w:rFonts w:hint="eastAsia" w:ascii="宋体" w:eastAsia="宋体"/>
        </w:rPr>
        <w:t>设立投诉箱、意见簿:</w:t>
      </w:r>
    </w:p>
    <w:p>
      <w:pPr>
        <w:pStyle w:val="133"/>
        <w:rPr>
          <w:rFonts w:hint="eastAsia" w:ascii="宋体" w:eastAsia="宋体"/>
        </w:rPr>
      </w:pPr>
      <w:r>
        <w:rPr>
          <w:rFonts w:hint="eastAsia" w:ascii="宋体" w:eastAsia="宋体"/>
        </w:rPr>
        <w:t>互联网反馈</w:t>
      </w:r>
      <w:r>
        <w:rPr>
          <w:rFonts w:hint="eastAsia" w:ascii="宋体" w:eastAsia="宋体"/>
          <w:lang w:eastAsia="zh-CN"/>
        </w:rPr>
        <w:t>。</w:t>
      </w:r>
    </w:p>
    <w:p>
      <w:pPr>
        <w:pStyle w:val="166"/>
        <w:rPr>
          <w:rFonts w:hint="eastAsia" w:ascii="宋体" w:eastAsia="宋体"/>
        </w:rPr>
      </w:pPr>
      <w:r>
        <w:rPr>
          <w:rFonts w:hint="eastAsia" w:ascii="宋体" w:eastAsia="宋体"/>
        </w:rPr>
        <w:t>应妥善处理会前、现场及会后投诉和需求，并在3个工作日内回复。</w:t>
      </w:r>
    </w:p>
    <w:p>
      <w:pPr>
        <w:pStyle w:val="166"/>
        <w:rPr>
          <w:rFonts w:hint="eastAsia" w:ascii="宋体" w:eastAsia="宋体"/>
        </w:rPr>
      </w:pPr>
      <w:r>
        <w:rPr>
          <w:rFonts w:hint="eastAsia"/>
        </w:rPr>
        <w:t>投诉及处理结果应及时反馈，督促整改，并做好记录。</w:t>
      </w:r>
    </w:p>
    <w:p>
      <w:pPr>
        <w:pStyle w:val="163"/>
        <w:spacing w:before="156" w:beforeLines="50" w:after="156" w:afterLines="50"/>
        <w:rPr>
          <w:rFonts w:ascii="黑体" w:hAnsi="黑体" w:eastAsia="黑体"/>
        </w:rPr>
      </w:pPr>
      <w:r>
        <w:rPr>
          <w:rFonts w:hint="eastAsia" w:ascii="黑体" w:hAnsi="黑体" w:eastAsia="黑体"/>
        </w:rPr>
        <w:t>服务</w:t>
      </w:r>
      <w:r>
        <w:rPr>
          <w:rFonts w:hint="eastAsia" w:ascii="黑体" w:hAnsi="黑体" w:eastAsia="黑体"/>
          <w:lang w:eastAsia="zh-CN"/>
        </w:rPr>
        <w:t>改进</w:t>
      </w:r>
    </w:p>
    <w:p>
      <w:pPr>
        <w:pStyle w:val="166"/>
        <w:rPr>
          <w:rFonts w:hAnsi="宋体"/>
        </w:rPr>
      </w:pPr>
      <w:r>
        <w:rPr>
          <w:rFonts w:hint="eastAsia"/>
        </w:rPr>
        <w:t>会后进行会务服务工作总结</w:t>
      </w:r>
      <w:r>
        <w:rPr>
          <w:rFonts w:hint="eastAsia" w:hAnsi="宋体"/>
        </w:rPr>
        <w:t>。</w:t>
      </w:r>
    </w:p>
    <w:p>
      <w:pPr>
        <w:pStyle w:val="166"/>
        <w:rPr>
          <w:rFonts w:hAnsi="宋体"/>
        </w:rPr>
      </w:pPr>
      <w:r>
        <w:rPr>
          <w:rFonts w:hint="eastAsia"/>
        </w:rPr>
        <w:t>对出现的不合格服务采取措施进行纠正，消除或降低不合格服务造成的不良影响</w:t>
      </w:r>
      <w:r>
        <w:rPr>
          <w:rFonts w:hint="eastAsia"/>
          <w:lang w:eastAsia="zh-CN"/>
        </w:rPr>
        <w:t>。</w:t>
      </w:r>
    </w:p>
    <w:p>
      <w:pPr>
        <w:pStyle w:val="166"/>
        <w:rPr>
          <w:rFonts w:hAnsi="宋体"/>
        </w:rPr>
      </w:pPr>
      <w:r>
        <w:rPr>
          <w:rFonts w:hint="eastAsia"/>
        </w:rPr>
        <w:t>分析产生不合格服务的原因，制定整改措施并跟踪整改措施的落实情况。</w:t>
      </w:r>
    </w:p>
    <w:p>
      <w:pPr>
        <w:pStyle w:val="166"/>
      </w:pPr>
      <w:r>
        <w:rPr>
          <w:rFonts w:hint="eastAsia"/>
        </w:rPr>
        <w:t>通过信息的收集与分析，持续改进提升服务质量。</w:t>
      </w:r>
    </w:p>
    <w:bookmarkEnd w:id="66"/>
    <w:bookmarkEnd w:id="67"/>
    <w:bookmarkEnd w:id="68"/>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166"/>
        <w:numPr>
          <w:ilvl w:val="3"/>
          <w:numId w:val="0"/>
        </w:numPr>
        <w:ind w:leftChars="0"/>
        <w:rPr>
          <w:rFonts w:hint="eastAsia" w:hAnsi="宋体"/>
        </w:rPr>
      </w:pPr>
    </w:p>
    <w:p>
      <w:pPr>
        <w:pStyle w:val="77"/>
        <w:spacing w:after="156"/>
      </w:pPr>
      <w:r>
        <w:br w:type="textWrapping"/>
      </w:r>
      <w:bookmarkStart w:id="69" w:name="_Toc145067125"/>
      <w:r>
        <w:rPr>
          <w:rFonts w:hint="eastAsia"/>
        </w:rPr>
        <w:t>（资料性）</w:t>
      </w:r>
    </w:p>
    <w:p>
      <w:pPr>
        <w:jc w:val="center"/>
        <w:rPr>
          <w:rFonts w:hint="eastAsia"/>
          <w:sz w:val="28"/>
          <w:szCs w:val="28"/>
          <w:lang w:val="en-US" w:eastAsia="zh-CN"/>
        </w:rPr>
      </w:pPr>
      <w:r>
        <w:rPr>
          <w:rFonts w:hint="eastAsia" w:ascii="黑体" w:hAnsi="黑体" w:eastAsia="黑体"/>
          <w:kern w:val="44"/>
          <w:sz w:val="28"/>
          <w:szCs w:val="28"/>
          <w:lang w:val="en-US" w:eastAsia="zh-CN"/>
        </w:rPr>
        <w:t>会议预订申报审批表</w:t>
      </w:r>
    </w:p>
    <w:p>
      <w:pPr>
        <w:rPr>
          <w:rFonts w:hint="eastAsia"/>
          <w:sz w:val="32"/>
          <w:szCs w:val="32"/>
          <w:lang w:val="en-US" w:eastAsia="zh-CN"/>
        </w:rPr>
      </w:pPr>
      <w:r>
        <w:rPr>
          <w:rFonts w:hint="eastAsia"/>
          <w:sz w:val="32"/>
          <w:szCs w:val="32"/>
          <w:lang w:val="en-US" w:eastAsia="zh-CN"/>
        </w:rPr>
        <w:t>预订单位（盖章）：</w:t>
      </w:r>
    </w:p>
    <w:tbl>
      <w:tblPr>
        <w:tblStyle w:val="28"/>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786"/>
        <w:gridCol w:w="2230"/>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60" w:type="dxa"/>
            <w:gridSpan w:val="2"/>
          </w:tcPr>
          <w:p>
            <w:pPr>
              <w:ind w:left="2520" w:hanging="2520" w:hangingChars="900"/>
              <w:rPr>
                <w:rFonts w:hint="default"/>
                <w:sz w:val="28"/>
                <w:szCs w:val="28"/>
                <w:vertAlign w:val="baseline"/>
                <w:lang w:val="en-US" w:eastAsia="zh-CN"/>
              </w:rPr>
            </w:pPr>
            <w:r>
              <w:rPr>
                <w:rFonts w:hint="eastAsia"/>
                <w:sz w:val="28"/>
                <w:szCs w:val="28"/>
                <w:vertAlign w:val="baseline"/>
                <w:lang w:val="en-US" w:eastAsia="zh-CN"/>
              </w:rPr>
              <w:t>会议时间：  年  月  日   时  分</w:t>
            </w:r>
          </w:p>
        </w:tc>
        <w:tc>
          <w:tcPr>
            <w:tcW w:w="4460" w:type="dxa"/>
            <w:gridSpan w:val="2"/>
          </w:tcPr>
          <w:p>
            <w:pPr>
              <w:rPr>
                <w:rFonts w:hint="eastAsia"/>
                <w:sz w:val="28"/>
                <w:szCs w:val="28"/>
                <w:vertAlign w:val="baseline"/>
                <w:lang w:val="en-US" w:eastAsia="zh-CN"/>
              </w:rPr>
            </w:pPr>
            <w:r>
              <w:rPr>
                <w:rFonts w:hint="eastAsia"/>
                <w:sz w:val="28"/>
                <w:szCs w:val="28"/>
                <w:vertAlign w:val="baseline"/>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920" w:type="dxa"/>
            <w:gridSpan w:val="4"/>
          </w:tcPr>
          <w:p>
            <w:pPr>
              <w:rPr>
                <w:rFonts w:hint="eastAsia"/>
                <w:sz w:val="28"/>
                <w:szCs w:val="28"/>
                <w:vertAlign w:val="baseline"/>
                <w:lang w:val="en-US" w:eastAsia="zh-CN"/>
              </w:rPr>
            </w:pPr>
            <w:r>
              <w:rPr>
                <w:rFonts w:hint="eastAsia"/>
                <w:sz w:val="28"/>
                <w:szCs w:val="28"/>
                <w:vertAlign w:val="baseline"/>
                <w:lang w:val="en-US" w:eastAsia="zh-CN"/>
              </w:rPr>
              <w:t>会议名称：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920" w:type="dxa"/>
            <w:gridSpan w:val="4"/>
          </w:tcPr>
          <w:p>
            <w:pPr>
              <w:rPr>
                <w:rFonts w:hint="default"/>
                <w:sz w:val="28"/>
                <w:szCs w:val="28"/>
                <w:vertAlign w:val="baseline"/>
                <w:lang w:val="en-US" w:eastAsia="zh-CN"/>
              </w:rPr>
            </w:pPr>
            <w:r>
              <w:rPr>
                <w:sz w:val="28"/>
                <w:szCs w:val="28"/>
              </w:rPr>
              <mc:AlternateContent>
                <mc:Choice Requires="wps">
                  <w:drawing>
                    <wp:anchor distT="0" distB="0" distL="114300" distR="114300" simplePos="0" relativeHeight="251673600" behindDoc="0" locked="0" layoutInCell="1" allowOverlap="1">
                      <wp:simplePos x="0" y="0"/>
                      <wp:positionH relativeFrom="column">
                        <wp:posOffset>4544060</wp:posOffset>
                      </wp:positionH>
                      <wp:positionV relativeFrom="paragraph">
                        <wp:posOffset>60325</wp:posOffset>
                      </wp:positionV>
                      <wp:extent cx="123825" cy="161290"/>
                      <wp:effectExtent l="6350" t="6350" r="22225" b="22860"/>
                      <wp:wrapNone/>
                      <wp:docPr id="2" name="矩形 2"/>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7.8pt;margin-top:4.75pt;height:12.7pt;width:9.75pt;z-index:251673600;v-text-anchor:middle;mso-width-relative:page;mso-height-relative:page;" filled="f" stroked="t" coordsize="21600,21600" o:gfxdata="UEsDBAoAAAAAAIdO4kAAAAAAAAAAAAAAAAAEAAAAZHJzL1BLAwQUAAAACACHTuJAqCMFcNkAAAAI&#10;AQAADwAAAGRycy9kb3ducmV2LnhtbE2PzU7DMBCE70i8g7VIXBB1nDT9CXF6oCDgBm2lXt14Gwfi&#10;dRQ7bXl7zAmOoxnNfFOuLrZjJxx860iCmCTAkGqnW2ok7LbP9wtgPijSqnOEEr7Rw6q6vipVod2Z&#10;PvC0CQ2LJeQLJcGE0Bec+9qgVX7ieqToHd1gVYhyaLge1DmW246nSTLjVrUUF4zq8dFg/bUZrYQX&#10;Wu/X2fFuNG+f++n7k0h36auV8vZGJA/AAl7CXxh+8SM6VJHp4EbSnnUS5iKfxaiEZQ4s+vMsF8AO&#10;ErLpEnhV8v8Hqh9QSwMEFAAAAAgAh07iQMuAiWl5AgAA6wQAAA4AAABkcnMvZTJvRG9jLnhtbK1U&#10;zW4TMRC+I/EOlu90s0vTplE3VdQoCKmilQri7Hi9WUv+w3Z+yssgceMheBzEa/DZu02jwqEH9uCd&#10;8Yy/8Xwz48urvVZkK3yQ1tS0PBlRIgy3jTTrmn76uHwzoSREZhqmrBE1fRCBXs1ev7rcuamobGdV&#10;IzwBiAnTnatpF6ObFkXgndAsnFgnDIyt9ZpFqH5dNJ7tgK5VUY1GZ8XO+sZ5y0UI2F30Rjog+pcA&#10;2raVXCws32hhYo/qhWIRKYVOukBn+bZtK3i8bdsgIlE1RaYxrwgCeZXWYnbJpmvPXCf5cAX2kis8&#10;y0kzaRD0ALVgkZGNl39Bacm9DbaNJ9zqok8kM4IsytEzbu475kTOBVQHdyA9/D9Y/mF754lsalpR&#10;YphGwX9/+/Hr53dSJW52Lkzhcu/u/KAFiCnRfet1+iMFss98Phz4FPtIODbL6u2kGlPCYSrPyuoi&#10;8108HXY+xHfCapKEmnqUK7PItjchIiBcH11SLGOXUqlcMmXILgU4H6GSnKEPW9QfonbIJZg1JUyt&#10;0eA8+gwZrJJNOp6Agl+vrpUnW4a2qJbjarLsnTrWiH53PMKXKMAdBvdePsZJl1uw0PVHcoi+o7SM&#10;GBIldU0nCegRSRmAJFJ7GpO0ss0DSuBt35vB8aUE7A0L8Y55NCMSxLjGWyytssjaDhIlnfVf/7Wf&#10;/NEjsFKyQ3ODkS8b5gUl6r1B91yUp6dpGrJyOj6voPhjy+rYYjb62oKoEg+D41lM/lE9iq23+jOm&#10;ep6iwsQMR+ye+0G5jv3Q4V3gYj7PbpgAx+KNuXc8gfcVnm+ibWUu/hM7A2mYgVyDYV7TkB3r2evp&#10;jZr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gjBXDZAAAACAEAAA8AAAAAAAAAAQAgAAAAIgAA&#10;AGRycy9kb3ducmV2LnhtbFBLAQIUABQAAAAIAIdO4kDLgIlpeQIAAOsEAAAOAAAAAAAAAAEAIAAA&#10;ACgBAABkcnMvZTJvRG9jLnhtbFBLBQYAAAAABgAGAFkBAAATBgAAAAA=&#10;">
                      <v:fill on="f" focussize="0,0"/>
                      <v:stroke weight="1pt" color="#2F528F [3204]"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72576" behindDoc="0" locked="0" layoutInCell="1" allowOverlap="1">
                      <wp:simplePos x="0" y="0"/>
                      <wp:positionH relativeFrom="column">
                        <wp:posOffset>3843020</wp:posOffset>
                      </wp:positionH>
                      <wp:positionV relativeFrom="paragraph">
                        <wp:posOffset>59690</wp:posOffset>
                      </wp:positionV>
                      <wp:extent cx="123825" cy="161290"/>
                      <wp:effectExtent l="6350" t="6350" r="22225" b="22860"/>
                      <wp:wrapNone/>
                      <wp:docPr id="19" name="矩形 19"/>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2.6pt;margin-top:4.7pt;height:12.7pt;width:9.75pt;z-index:251672576;v-text-anchor:middle;mso-width-relative:page;mso-height-relative:page;" filled="f" stroked="t" coordsize="21600,21600" o:gfxdata="UEsDBAoAAAAAAIdO4kAAAAAAAAAAAAAAAAAEAAAAZHJzL1BLAwQUAAAACACHTuJA4YN9y9gAAAAI&#10;AQAADwAAAGRycy9kb3ducmV2LnhtbE2PMU/DMBSEdyT+g/WQWBC144ZQQl46UBCwQanU1Y3dOBA/&#10;R7HTln+PmWA83enuu2p5cj07mDF0nhCymQBmqPG6oxZh8/F0vQAWoiKtek8G4dsEWNbnZ5UqtT/S&#10;uzmsY8tSCYVSIdgYh5Lz0FjjVJj5wVDy9n50KiY5tlyP6pjKXc+lEAV3qqO0YNVgHqxpvtaTQ3im&#10;1XY1319N9vVzm789ZnIjXxzi5UUm7oFFc4p/YfjFT+hQJ6adn0gH1iMU4kamKMJdDiz5hcxvge0Q&#10;5vkCeF3x/wfqH1BLAwQUAAAACACHTuJAz7jzW3oCAADtBAAADgAAAGRycy9lMm9Eb2MueG1srVTN&#10;bhMxEL4j8Q6W73STpWnTqJsqahSEVNFKBXF2vN6sJf9hO9mUl0HixkPwOIjX4LN3m0aFQw/swTvj&#10;GX/j+WbGl1d7rchO+CCtqej4ZESJMNzW0mwq+unj6s2UkhCZqZmyRlT0QQR6NX/96rJzM1Ha1qpa&#10;eAIQE2adq2gbo5sVReCt0CycWCcMjI31mkWoflPUnnVA16ooR6OzorO+dt5yEQJ2l72RDoj+JYC2&#10;aSQXS8u3WpjYo3qhWERKoZUu0Hm+bdMIHm+bJohIVEWRacwrgkBep7WYX7LZxjPXSj5cgb3kCs9y&#10;0kwaBD1ALVlkZOvlX1Bacm+DbeIJt7roE8mMIIvx6Bk39y1zIucCqoM7kB7+Hyz/sLvzRNbohAtK&#10;DNOo+O9vP379/E6wAXY6F2Zwund3ftACxJTqvvE6/ZEE2WdGHw6Min0kHJvj8u20nFDCYRqfjcuL&#10;zHjxdNj5EN8Jq0kSKupRsMwj292EiIBwfXRJsYxdSaVy0ZQhXQpwPkItOUMnNugAiNohm2A2lDC1&#10;QYvz6DNksErW6XgCCn6zvlae7Bgao1xNyumqd2pZLfrdyQhfogB3GNx7+RgnXW7JQtsfySH6ntIy&#10;YkyU1BWdJqBHJGUAkkjtaUzS2tYPKIK3fXcGx1cSsDcsxDvm0Y5IEAMbb7E0yiJrO0iUtNZ//dd+&#10;8keXwEpJh/YGI1+2zAtK1HuD/rkYn56mecjK6eS8hOKPLetji9nqawuixngaHM9i8o/qUWy81Z8x&#10;14sUFSZmOGL33A/KdezHDi8DF4tFdsMMOBZvzL3jCbyv8GIbbSNz8Z/YGUjDFOQaDBObxuxYz15P&#10;r9T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GDfcvYAAAACAEAAA8AAAAAAAAAAQAgAAAAIgAA&#10;AGRycy9kb3ducmV2LnhtbFBLAQIUABQAAAAIAIdO4kDPuPNbegIAAO0EAAAOAAAAAAAAAAEAIAAA&#10;ACcBAABkcnMvZTJvRG9jLnhtbFBLBQYAAAAABgAGAFkBAAATBgAAAAA=&#10;">
                      <v:fill on="f" focussize="0,0"/>
                      <v:stroke weight="1pt" color="#2F528F [3204]"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71552" behindDoc="0" locked="0" layoutInCell="1" allowOverlap="1">
                      <wp:simplePos x="0" y="0"/>
                      <wp:positionH relativeFrom="column">
                        <wp:posOffset>3035300</wp:posOffset>
                      </wp:positionH>
                      <wp:positionV relativeFrom="paragraph">
                        <wp:posOffset>49530</wp:posOffset>
                      </wp:positionV>
                      <wp:extent cx="123825" cy="161290"/>
                      <wp:effectExtent l="6350" t="6350" r="22225" b="22860"/>
                      <wp:wrapNone/>
                      <wp:docPr id="20" name="矩形 20"/>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9pt;margin-top:3.9pt;height:12.7pt;width:9.75pt;z-index:251671552;v-text-anchor:middle;mso-width-relative:page;mso-height-relative:page;" filled="f" stroked="t" coordsize="21600,21600" o:gfxdata="UEsDBAoAAAAAAIdO4kAAAAAAAAAAAAAAAAAEAAAAZHJzL1BLAwQUAAAACACHTuJAd05nftkAAAAI&#10;AQAADwAAAGRycy9kb3ducmV2LnhtbE2Py07DMBBF90j8gzVIbFDrvCAlxOmCgoAdtJW6dZNpHIjH&#10;Uey05e8ZVrAc3dG955TLs+3FEUffOVIQzyMQSLVrOmoVbDfPswUIHzQ1uneECr7Rw7K6vCh10bgT&#10;feBxHVrBJeQLrcCEMBRS+tqg1X7uBiTODm60OvA5trIZ9YnLbS+TKLqTVnfEC0YP+Giw/lpPVsEL&#10;rXar9HAzmbfPXfb+FCfb5NUqdX0VRw8gAp7D3zP84jM6VMy0dxM1XvQKsnzBLkFBzgacZ/f5LYi9&#10;gjRNQFal/C9Q/QBQSwMEFAAAAAgAh07iQC9NgiR5AgAA7QQAAA4AAABkcnMvZTJvRG9jLnhtbK1U&#10;zW4TMRC+I/EOlu90s0vTplE3VdQoCKmilQri7Hi9WUv+w3Z+yssgceMheBzEa/DZu02jwqEH9uAd&#10;e8bfzHwz48urvVZkK3yQ1tS0PBlRIgy3jTTrmn76uHwzoSREZhqmrBE1fRCBXs1ev7rcuamobGdV&#10;IzwBiAnTnatpF6ObFkXgndAsnFgnDJSt9ZpFbP26aDzbAV2rohqNzoqd9Y3zlosQcLrolXRA9C8B&#10;tG0ruVhYvtHCxB7VC8UiUgqddIHOcrRtK3i8bdsgIlE1RaYxr3ACeZXWYnbJpmvPXCf5EAJ7SQjP&#10;ctJMGjg9QC1YZGTj5V9QWnJvg23jCbe66BPJjCCLcvSMm/uOOZFzAdXBHUgP/w+Wf9jeeSKbmlag&#10;xDCNiv/+9uPXz+8EB2Bn58IURvfuzg+7ADGlum+9Tn8kQfaZ0YcDo2IfCcdhWb2dVGNKOFTlWVld&#10;ZMzi6bLzIb4TVpMk1NSjYJlHtr0JEQ5h+miSfBm7lErloilDdsnB+QiBc4ZObNEBELVDNsGsKWFq&#10;jRbn0WfIYJVs0vUEFPx6da082TI0RrUcV5Nlb9SxRvSn4xG+RAFiGMx7+RgnBbdgoeuvZBd9T2kZ&#10;MSZK6ppOEtAjkjIASaT2NCZpZZsHFMHbvjuD40sJ2BsW4h3zaEckiIGNt1haZZG1HSRKOuu//us8&#10;2aNLoKVkh/YGI182zAtK1HuD/rkoT08BG/PmdHyequ+PNatjjdnoawuiSjwNjmcx2Uf1KLbe6s+Y&#10;63nyChUzHL577ofNdezHDi8DF/N5NsMMOBZvzL3jCbyv8HwTbStz8Z/YGUjDFOQaDBObxux4n62e&#10;Xqn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dOZ37ZAAAACAEAAA8AAAAAAAAAAQAgAAAAIgAA&#10;AGRycy9kb3ducmV2LnhtbFBLAQIUABQAAAAIAIdO4kAvTYIkeQIAAO0EAAAOAAAAAAAAAAEAIAAA&#10;ACgBAABkcnMvZTJvRG9jLnhtbFBLBQYAAAAABgAGAFkBAAATBgAAAAA=&#10;">
                      <v:fill on="f" focussize="0,0"/>
                      <v:stroke weight="1pt" color="#2F528F [3204]"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70528" behindDoc="0" locked="0" layoutInCell="1" allowOverlap="1">
                      <wp:simplePos x="0" y="0"/>
                      <wp:positionH relativeFrom="column">
                        <wp:posOffset>2251710</wp:posOffset>
                      </wp:positionH>
                      <wp:positionV relativeFrom="paragraph">
                        <wp:posOffset>71755</wp:posOffset>
                      </wp:positionV>
                      <wp:extent cx="123825" cy="161290"/>
                      <wp:effectExtent l="6350" t="6350" r="22225" b="22860"/>
                      <wp:wrapNone/>
                      <wp:docPr id="21" name="矩形 21"/>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3pt;margin-top:5.65pt;height:12.7pt;width:9.75pt;z-index:251670528;v-text-anchor:middle;mso-width-relative:page;mso-height-relative:page;" filled="f" stroked="t" coordsize="21600,21600" o:gfxdata="UEsDBAoAAAAAAIdO4kAAAAAAAAAAAAAAAAAEAAAAZHJzL1BLAwQUAAAACACHTuJAMO2/tNkAAAAJ&#10;AQAADwAAAGRycy9kb3ducmV2LnhtbE2PwU7DMAyG70i8Q2QkLoilaUs3laY7MBDsBtukXbMmawqN&#10;UzXpNt4ec4Kbrf/T78/V8uJ6djJj6DxKELMEmMHG6w5bCbvty/0CWIgKteo9GgnfJsCyvr6qVKn9&#10;GT/MaRNbRiUYSiXBxjiUnIfGGqfCzA8GKTv60alI69hyPaozlbuep0lScKc6pAtWDebJmuZrMzkJ&#10;r7jar7Lj3WTXn/v8/Vmku/TNSXl7I5JHYNFc4h8Mv/qkDjU5HfyEOrBeQvaQF4RSIDJgBGTzXAA7&#10;0FDMgdcV//9B/QNQSwMEFAAAAAgAh07iQG6u+6B5AgAA7QQAAA4AAABkcnMvZTJvRG9jLnhtbK1U&#10;zW4TMRC+I/EOlu90s0vTplE3VdQoCKmilQri7Hi9WUv+w3Z+yssgceMheBzEa/DZu02jwqEHcnBm&#10;PONvZr6Z2curvVZkK3yQ1tS0PBlRIgy3jTTrmn76uHwzoSREZhqmrBE1fRCBXs1ev7rcuamobGdV&#10;IzwBiAnTnatpF6ObFkXgndAsnFgnDIyt9ZpFqH5dNJ7tgK5VUY1GZ8XO+sZ5y0UIuF30Rjog+pcA&#10;2raVXCws32hhYo/qhWIRJYVOukBnOdu2FTzetm0QkaiaotKYTwSBvEpnMbtk07VnrpN8SIG9JIVn&#10;NWkmDYIeoBYsMrLx8i8oLbm3wbbxhFtd9IVkRlBFOXrGzX3HnMi1gOrgDqSH/wfLP2zvPJFNTauS&#10;EsM0Ov77249fP78TXICdnQtTON27Oz9oAWIqdd96nf5RBNlnRh8OjIp9JByXZfV2Uo0p4TCVZ2V1&#10;kRkvnh47H+I7YTVJQk09GpZ5ZNubEBEQro8uKZaxS6lUbpoyZJcCnI/QS84wiS0mAKJ2qCaYNSVM&#10;rTHiPPoMGaySTXqegIJfr66VJ1uGwaiW42qy7J061oj+djzCL1GAHAb3Xj7GScktWOj6JzlEP1Na&#10;RqyJkrqmkwT0iKQMQBKpPY1JWtnmAU3wtp/O4PhSAvaGhXjHPMYRBWJh4y2OVllUbQeJks76r/+6&#10;T/6YElgp2WG8wciXDfOCEvXeYH4uytPTtA9ZOR2fV1D8sWV1bDEbfW1BFEYE2WUx+Uf1KLbe6s/Y&#10;63mKChMzHLF77gflOvZrhy8DF/N5dsMOOBZvzL3jCbzv8HwTbStz85/YGUjDFuQeDBub1uxYz15P&#10;X6n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DDtv7TZAAAACQEAAA8AAAAAAAAAAQAgAAAAIgAA&#10;AGRycy9kb3ducmV2LnhtbFBLAQIUABQAAAAIAIdO4kBurvugeQIAAO0EAAAOAAAAAAAAAAEAIAAA&#10;ACgBAABkcnMvZTJvRG9jLnhtbFBLBQYAAAAABgAGAFkBAAATBgAAAAA=&#10;">
                      <v:fill on="f" focussize="0,0"/>
                      <v:stroke weight="1pt" color="#2F528F [3204]"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69504" behindDoc="0" locked="0" layoutInCell="1" allowOverlap="1">
                      <wp:simplePos x="0" y="0"/>
                      <wp:positionH relativeFrom="column">
                        <wp:posOffset>1461770</wp:posOffset>
                      </wp:positionH>
                      <wp:positionV relativeFrom="paragraph">
                        <wp:posOffset>60960</wp:posOffset>
                      </wp:positionV>
                      <wp:extent cx="123825" cy="161290"/>
                      <wp:effectExtent l="6350" t="6350" r="22225" b="22860"/>
                      <wp:wrapNone/>
                      <wp:docPr id="22" name="矩形 22"/>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1pt;margin-top:4.8pt;height:12.7pt;width:9.75pt;z-index:251669504;v-text-anchor:middle;mso-width-relative:page;mso-height-relative:page;" filled="f" stroked="t" coordsize="21600,21600" o:gfxdata="UEsDBAoAAAAAAIdO4kAAAAAAAAAAAAAAAAAEAAAAZHJzL1BLAwQUAAAACACHTuJAA3gQpdgAAAAI&#10;AQAADwAAAGRycy9kb3ducmV2LnhtbE2PMU/DMBSEdyT+g/WQWBC145SWhjgdKAjYoK3U1Y1f40D8&#10;HMVOW/49ZoLxdKe778rl2XXsiENoPSnIJgIYUu1NS42C7eb59h5YiJqM7jyhgm8MsKwuL0pdGH+i&#10;DzyuY8NSCYVCK7Ax9gXnobbodJj4Hil5Bz84HZMcGm4GfUrlruNSiBl3uqW0YHWPjxbrr/XoFLzQ&#10;arfKDzejffvcTd+fMrmVr06p66tMPACLeI5/YfjFT+hQJaa9H8kE1imQuZApqmAxA5Z8OV3Mge0V&#10;5HcCeFXy/weqH1BLAwQUAAAACACHTuJA7I0A93oCAADtBAAADgAAAGRycy9lMm9Eb2MueG1srVTN&#10;bhMxEL4j8Q6W73SzS9OmUTdV1CgIqaKVCuLseL1ZS/7Ddn7KyyBx4yF4HMRr8Nm7TaPCoQf24J3x&#10;jL/xfDPjy6u9VmQrfJDW1LQ8GVEiDLeNNOuafvq4fDOhJERmGqasETV9EIFezV6/uty5qahsZ1Uj&#10;PAGICdOdq2kXo5sWReCd0CycWCcMjK31mkWofl00nu2ArlVRjUZnxc76xnnLRQjYXfRGOiD6lwDa&#10;tpVcLCzfaGFij+qFYhEphU66QGf5tm0reLxt2yAiUTVFpjGvCAJ5ldZidsmma89cJ/lwBfaSKzzL&#10;STNpEPQAtWCRkY2Xf0Fpyb0Nto0n3OqiTyQzgizK0TNu7jvmRM4FVAd3ID38P1j+YXvniWxqWlWU&#10;GKZR8d/ffvz6+Z1gA+zsXJjC6d7d+UELEFOq+9br9EcSZJ8ZfTgwKvaRcGyW1dtJNaaEw1SeldVF&#10;Zrx4Oux8iO+E1SQJNfUoWOaRbW9CREC4PrqkWMYupVK5aMqQXQpwPkItOUMntugAiNohm2DWlDC1&#10;Rovz6DNksEo26XgCCn69ulaebBkao1qOq8myd+pYI/rd8QhfogB3GNx7+RgnXW7BQtcfySH6ntIy&#10;YkyU1DWdJKBHJGUAkkjtaUzSyjYPKIK3fXcGx5cSsDcsxDvm0Y5IEAMbb7G0yiJrO0iUdNZ//dd+&#10;8keXwErJDu0NRr5smBeUqPcG/XNRnp6mecjK6fi8guKPLatji9noawuiSjwNjmcx+Uf1KLbe6s+Y&#10;63mKChMzHLF77gflOvZjh5eBi/k8u2EGHIs35t7xBN5XeL6JtpW5+E/sDKRhCnINholNY3asZ6+n&#10;V2r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AN4EKXYAAAACAEAAA8AAAAAAAAAAQAgAAAAIgAA&#10;AGRycy9kb3ducmV2LnhtbFBLAQIUABQAAAAIAIdO4kDsjQD3egIAAO0EAAAOAAAAAAAAAAEAIAAA&#10;ACcBAABkcnMvZTJvRG9jLnhtbFBLBQYAAAAABgAGAFkBAAATBgAAAAA=&#10;">
                      <v:fill on="f" focussize="0,0"/>
                      <v:stroke weight="1pt" color="#2F528F [3204]" miterlimit="8" joinstyle="miter"/>
                      <v:imagedata o:title=""/>
                      <o:lock v:ext="edit" aspectratio="f"/>
                    </v:rect>
                  </w:pict>
                </mc:Fallback>
              </mc:AlternateContent>
            </w:r>
            <w:r>
              <w:rPr>
                <w:rFonts w:hint="eastAsia"/>
                <w:sz w:val="28"/>
                <w:szCs w:val="28"/>
                <w:vertAlign w:val="baseline"/>
                <w:lang w:val="en-US" w:eastAsia="zh-CN"/>
              </w:rPr>
              <w:t>会议类型：工作会   座谈会   报告会   视频会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920" w:type="dxa"/>
            <w:gridSpan w:val="4"/>
          </w:tcPr>
          <w:p>
            <w:pPr>
              <w:rPr>
                <w:rFonts w:hint="default"/>
                <w:sz w:val="28"/>
                <w:szCs w:val="28"/>
                <w:vertAlign w:val="baseline"/>
                <w:lang w:val="en-US" w:eastAsia="zh-CN"/>
              </w:rPr>
            </w:pPr>
            <w:r>
              <w:rPr>
                <w:rFonts w:hint="eastAsia"/>
                <w:sz w:val="28"/>
                <w:szCs w:val="28"/>
                <w:vertAlign w:val="baseline"/>
                <w:lang w:val="en-US" w:eastAsia="zh-CN"/>
              </w:rPr>
              <w:t xml:space="preserve">参会人数：    人；    其中：主席台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8920" w:type="dxa"/>
            <w:gridSpan w:val="4"/>
          </w:tcPr>
          <w:p>
            <w:pPr>
              <w:rPr>
                <w:rFonts w:hint="eastAsia"/>
                <w:sz w:val="28"/>
                <w:szCs w:val="28"/>
                <w:vertAlign w:val="baseline"/>
                <w:lang w:val="en-US" w:eastAsia="zh-CN"/>
              </w:rPr>
            </w:pPr>
            <w:r>
              <w:rPr>
                <w:rFonts w:hint="eastAsia"/>
                <w:sz w:val="28"/>
                <w:szCs w:val="28"/>
                <w:vertAlign w:val="baseline"/>
                <w:lang w:val="en-US" w:eastAsia="zh-CN"/>
              </w:rPr>
              <w:t>所需服务事项：</w:t>
            </w:r>
          </w:p>
          <w:p>
            <w:pPr>
              <w:rPr>
                <w:rFonts w:hint="eastAsia"/>
                <w:sz w:val="28"/>
                <w:szCs w:val="28"/>
                <w:vertAlign w:val="baseline"/>
                <w:lang w:val="en-US" w:eastAsia="zh-CN"/>
              </w:rPr>
            </w:pPr>
            <w:r>
              <w:rPr>
                <w:sz w:val="28"/>
                <w:szCs w:val="28"/>
              </w:rPr>
              <mc:AlternateContent>
                <mc:Choice Requires="wps">
                  <w:drawing>
                    <wp:anchor distT="0" distB="0" distL="114300" distR="114300" simplePos="0" relativeHeight="251667456" behindDoc="0" locked="0" layoutInCell="1" allowOverlap="1">
                      <wp:simplePos x="0" y="0"/>
                      <wp:positionH relativeFrom="column">
                        <wp:posOffset>4451985</wp:posOffset>
                      </wp:positionH>
                      <wp:positionV relativeFrom="paragraph">
                        <wp:posOffset>59055</wp:posOffset>
                      </wp:positionV>
                      <wp:extent cx="123825" cy="161290"/>
                      <wp:effectExtent l="6350" t="6350" r="22225" b="22860"/>
                      <wp:wrapNone/>
                      <wp:docPr id="23" name="矩形 23"/>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55pt;margin-top:4.65pt;height:12.7pt;width:9.75pt;z-index:251667456;v-text-anchor:middle;mso-width-relative:page;mso-height-relative:page;" filled="f" stroked="t" coordsize="21600,21600" o:gfxdata="UEsDBAoAAAAAAIdO4kAAAAAAAAAAAAAAAAAEAAAAZHJzL1BLAwQUAAAACACHTuJAbVs0ntgAAAAI&#10;AQAADwAAAGRycy9kb3ducmV2LnhtbE2PMU/DMBSEdyT+g/WQWBC1nVQNhLx0oCDoBqVSVzd240D8&#10;HMVOW/49ZoLxdKe776rl2fXsaMbQeUKQMwHMUON1Ry3C9uP59g5YiIq06j0ZhG8TYFlfXlSq1P5E&#10;7+a4iS1LJRRKhWBjHErOQ2ONU2HmB0PJO/jRqZjk2HI9qlMqdz3PhFhwpzpKC1YN5tGa5mszOYQX&#10;Wu1W+eFmsuvP3fztSWbb7NUhXl9J8QAsmnP8C8MvfkKHOjHt/UQ6sB6hEFKmKMJ9Diz5RSYWwPYI&#10;+bwAXlf8/4H6B1BLAwQUAAAACACHTuJArW55c3sCAADtBAAADgAAAGRycy9lMm9Eb2MueG1srVRL&#10;btswEN0X6B0I7htZSpw4RuTAiOGiQNAESIuuaYqyCPBXkv6klynQXQ+R4xS9Rh8pJTHSLrKoFtQM&#10;Z/iG82aGF5d7rchW+CCtqWl5NKJEGG4badY1/fxp+W5CSYjMNExZI2p6LwK9nL19c7FzU1HZzqpG&#10;eAIQE6Y7V9MuRjctisA7oVk4sk4YGFvrNYtQ/bpoPNsBXauiGo1Oi531jfOWixCwu+iNdED0rwG0&#10;bSu5WFi+0cLEHtULxSJSCp10gc7ybdtW8HjTtkFEomqKTGNeEQTyKq3F7IJN1565TvLhCuw1V3iR&#10;k2bSIOgT1IJFRjZe/gWlJfc22DYecauLPpHMCLIoRy+4ueuYEzkXUB3cE+nh/8Hyj9tbT2RT0+qY&#10;EsM0Kv77+89fDz8INsDOzoUpnO7crR+0ADGlum+9Tn8kQfaZ0fsnRsU+Eo7NsjqeVGNKOEzlaVmd&#10;Z8aL58POh/heWE2SUFOPgmUe2fY6RASE66NLimXsUiqVi6YM2aUAZyPUkjN0YosOgKgdsglmTQlT&#10;a7Q4jz5DBqtkk44noODXqyvlyZahMarluJose6eONaLfHY/wJQpwh8G9lw9x0uUWLHT9kRyi7ykt&#10;I8ZESV3TSQJ6RFIGIInUnsYkrWxzjyJ423dncHwpAXvNQrxlHu2IBDGw8QZLqyyytoNESWf9t3/t&#10;J390CayU7NDeYOTrhnlBifpg0D/n5clJmoesnIzPKij+0LI6tJiNvrIgqsTT4HgWk39Uj2Lrrf6C&#10;uZ6nqDAxwxG7535QrmI/dngZuJjPsxtmwLF4be4cT+B9heebaFuZi//MzkAapiDXYJjYNGaHevZ6&#10;fqV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WzSe2AAAAAgBAAAPAAAAAAAAAAEAIAAAACIA&#10;AABkcnMvZG93bnJldi54bWxQSwECFAAUAAAACACHTuJArW55c3sCAADtBAAADgAAAAAAAAABACAA&#10;AAAnAQAAZHJzL2Uyb0RvYy54bWxQSwUGAAAAAAYABgBZAQAAFAYAAAAA&#10;">
                      <v:fill on="f" focussize="0,0"/>
                      <v:stroke weight="1pt" color="#2F528F [3204]"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64384" behindDoc="0" locked="0" layoutInCell="1" allowOverlap="1">
                      <wp:simplePos x="0" y="0"/>
                      <wp:positionH relativeFrom="column">
                        <wp:posOffset>3248660</wp:posOffset>
                      </wp:positionH>
                      <wp:positionV relativeFrom="paragraph">
                        <wp:posOffset>40005</wp:posOffset>
                      </wp:positionV>
                      <wp:extent cx="123825" cy="161290"/>
                      <wp:effectExtent l="6350" t="6350" r="22225" b="22860"/>
                      <wp:wrapNone/>
                      <wp:docPr id="24" name="矩形 24"/>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8pt;margin-top:3.15pt;height:12.7pt;width:9.75pt;z-index:251664384;v-text-anchor:middle;mso-width-relative:page;mso-height-relative:page;" filled="f" stroked="t" coordsize="21600,21600" o:gfxdata="UEsDBAoAAAAAAIdO4kAAAAAAAAAAAAAAAAAEAAAAZHJzL1BLAwQUAAAACACHTuJAtjKDx9gAAAAI&#10;AQAADwAAAGRycy9kb3ducmV2LnhtbE2PwU7DMBBE70j8g7VIXBB1nNC0Ctn0QEHADUqlXt14mwTi&#10;dRQ7bfl7zAmOoxnNvClXZ9uLI42+c4ygZgkI4tqZjhuE7cfT7RKED5qN7h0Twjd5WFWXF6UujDvx&#10;Ox03oRGxhH2hEdoQhkJKX7dktZ+5gTh6BzdaHaIcG2lGfYrltpdpkuTS6o7jQqsHemip/tpMFuGZ&#10;17t1driZ2tfP3d3bo0q36YtFvL5SyT2IQOfwF4Zf/IgOVWTau4mNFz3CXKk8RhHyDET055lSIPYI&#10;mVqArEr5/0D1A1BLAwQUAAAACACHTuJA6Mr2WHoCAADtBAAADgAAAGRycy9lMm9Eb2MueG1srVTN&#10;bhMxEL4j8Q6W73STJWnTqJsqahSEVNFKBXF2vN6sJf9hO9mUl0HixkPwOIjX4LN320aFQw/swTvj&#10;GX/j+WbGF5cHrche+CCtqej4ZESJMNzW0mwr+unj+s2MkhCZqZmyRlT0XgR6uXj96qJzc1Ha1qpa&#10;eAIQE+adq2gbo5sXReCt0CycWCcMjI31mkWoflvUnnVA16ooR6PTorO+dt5yEQJ2V72RDoj+JYC2&#10;aSQXK8t3WpjYo3qhWERKoZUu0EW+bdMIHm+aJohIVEWRacwrgkDepLVYXLD51jPXSj5cgb3kCs9y&#10;0kwaBH2EWrHIyM7Lv6C05N4G28QTbnXRJ5IZQRbj0TNu7lrmRM4FVAf3SHr4f7D8w/7WE1lXtJxQ&#10;YphGxX9/+/Hr53eCDbDTuTCH05279YMWIKZUD43X6Y8kyCEzev/IqDhEwrE5Lt/OyiklHKbx6bg8&#10;z4wXT4edD/GdsJokoaIeBcs8sv11iAgI1weXFMvYtVQqF00Z0qUAZyPUkjN0YoMOgKgdsglmSwlT&#10;W7Q4jz5DBqtknY4noOC3myvlyZ6hMcr1tJyte6eW1aLfnY7wJQpwh8G9l49x0uVWLLT9kRyi7ykt&#10;I8ZESV3RWQJ6QFIGIInUnsYkbWx9jyJ423dncHwtAXvNQrxlHu2IBDGw8QZLoyyytoNESWv913/t&#10;J390CayUdGhvMPJlx7ygRL036J/z8WSS5iErk+lZCcUfWzbHFrPTVxZEjfE0OJ7F5B/Vg9h4qz9j&#10;rpcpKkzMcMTuuR+Uq9iPHV4GLpbL7IYZcCxemzvHE3hf4eUu2kbm4j+xM5CGKcg1GCY2jdmxnr2e&#10;Xqn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Yyg8fYAAAACAEAAA8AAAAAAAAAAQAgAAAAIgAA&#10;AGRycy9kb3ducmV2LnhtbFBLAQIUABQAAAAIAIdO4kDoyvZYegIAAO0EAAAOAAAAAAAAAAEAIAAA&#10;ACcBAABkcnMvZTJvRG9jLnhtbFBLBQYAAAAABgAGAFkBAAATBgAAAAA=&#10;">
                      <v:fill on="f" focussize="0,0"/>
                      <v:stroke weight="1pt" color="#2F528F [3204]"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66432" behindDoc="0" locked="0" layoutInCell="1" allowOverlap="1">
                      <wp:simplePos x="0" y="0"/>
                      <wp:positionH relativeFrom="column">
                        <wp:posOffset>2541270</wp:posOffset>
                      </wp:positionH>
                      <wp:positionV relativeFrom="paragraph">
                        <wp:posOffset>53340</wp:posOffset>
                      </wp:positionV>
                      <wp:extent cx="123825" cy="161290"/>
                      <wp:effectExtent l="6350" t="6350" r="22225" b="22860"/>
                      <wp:wrapNone/>
                      <wp:docPr id="25" name="矩形 25"/>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0.1pt;margin-top:4.2pt;height:12.7pt;width:9.75pt;z-index:251666432;v-text-anchor:middle;mso-width-relative:page;mso-height-relative:page;" filled="f" stroked="t" coordsize="21600,21600" o:gfxdata="UEsDBAoAAAAAAIdO4kAAAAAAAAAAAAAAAAAEAAAAZHJzL1BLAwQUAAAACACHTuJAXJDWANgAAAAI&#10;AQAADwAAAGRycy9kb3ducmV2LnhtbE2PzU7DMBCE70i8g7VIXBC18yMIIZseKAi4QanUqxtvk0C8&#10;jmKnLW+POcFxNKOZb6rlyQ7iQJPvHSMkCwWCuHGm5xZh8/F0XYDwQbPRg2NC+CYPy/r8rNKlcUd+&#10;p8M6tCKWsC81QhfCWErpm46s9gs3Ekdv7yarQ5RTK82kj7HcDjJV6kZa3XNc6PRIDx01X+vZIjzz&#10;arvK9ldz9/q5zd8ek3STvljEy4tE3YMIdAp/YfjFj+hQR6adm9l4MSDkSqUxilDkIKKfJ3e3IHYI&#10;WVaArCv5/0D9A1BLAwQUAAAACACHTuJAqSmP3HkCAADtBAAADgAAAGRycy9lMm9Eb2MueG1srVTN&#10;bhMxEL4j8Q6W73SzS9OmUTdV1CgIqaKVCuLseL1ZS/7Ddn7KyyBx4yF4HMRr8Nm7TaPCoQf24J3x&#10;jL/xfDPjy6u9VmQrfJDW1LQ8GVEiDLeNNOuafvq4fDOhJERmGqasETV9EIFezV6/uty5qahsZ1Uj&#10;PAGICdOdq2kXo5sWReCd0CycWCcMjK31mkWofl00nu2ArlVRjUZnxc76xnnLRQjYXfRGOiD6lwDa&#10;tpVcLCzfaGFij+qFYhEphU66QGf5tm0reLxt2yAiUTVFpjGvCAJ5ldZidsmma89cJ/lwBfaSKzzL&#10;STNpEPQAtWCRkY2Xf0Fpyb0Nto0n3OqiTyQzgizK0TNu7jvmRM4FVAd3ID38P1j+YXvniWxqWo0p&#10;MUyj4r+//fj18zvBBtjZuTCF072784MWIKZU963X6Y8kyD4z+nBgVOwj4dgsq7eTBMxhKs/K6iIz&#10;Xjwddj7Ed8JqkoSaehQs88i2NyEiIFwfXVIsY5dSqVw0ZcguBTgfoZacoRNbdABE7ZBNMGtKmFqj&#10;xXn0GTJYJZt0PAEFv15dK0+2DI1RLcfVZNk7dawR/e54hC9RgDsM7r18jJMut2Ch64/kEH1PaRkx&#10;Jkrqmk4S0COSMgBJpPY0JmllmwcUwdu+O4PjSwnYGxbiHfNoRySIgY23WFplkbUdJEo667/+az/5&#10;o0tgpWSH9gYjXzbMC0rUe4P+uShPT9M8ZOV0fF5B8ceW1bHFbPS1BVElngbHs5j8o3oUW2/1Z8z1&#10;PEWFiRmO2D33g3Id+7HDy8DFfJ7dMAOOxRtz73gC7ys830Tbylz8J3YG0jAFuQbDxKYxO9az19Mr&#10;Nf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XJDWANgAAAAIAQAADwAAAAAAAAABACAAAAAiAAAA&#10;ZHJzL2Rvd25yZXYueG1sUEsBAhQAFAAAAAgAh07iQKkpj9x5AgAA7QQAAA4AAAAAAAAAAQAgAAAA&#10;JwEAAGRycy9lMm9Eb2MueG1sUEsFBgAAAAAGAAYAWQEAABIGAAAAAA==&#10;">
                      <v:fill on="f" focussize="0,0"/>
                      <v:stroke weight="1pt" color="#2F528F [3204]"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62336" behindDoc="0" locked="0" layoutInCell="1" allowOverlap="1">
                      <wp:simplePos x="0" y="0"/>
                      <wp:positionH relativeFrom="column">
                        <wp:posOffset>1544955</wp:posOffset>
                      </wp:positionH>
                      <wp:positionV relativeFrom="paragraph">
                        <wp:posOffset>61595</wp:posOffset>
                      </wp:positionV>
                      <wp:extent cx="123825" cy="161290"/>
                      <wp:effectExtent l="6350" t="6350" r="22225" b="22860"/>
                      <wp:wrapNone/>
                      <wp:docPr id="26" name="矩形 26"/>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1.65pt;margin-top:4.85pt;height:12.7pt;width:9.75pt;z-index:251662336;v-text-anchor:middle;mso-width-relative:page;mso-height-relative:page;" filled="f" stroked="t" coordsize="21600,21600" o:gfxdata="UEsDBAoAAAAAAIdO4kAAAAAAAAAAAAAAAAAEAAAAZHJzL1BLAwQUAAAACACHTuJAforA29gAAAAI&#10;AQAADwAAAGRycy9kb3ducmV2LnhtbE2PwU7DMBBE70j8g7VIXFDrxCkFQpweKIhyg7ZSr268TQLx&#10;Ooqdtvw9ywmOoxnNvCkWZ9eJIw6h9aQhnSYgkCpvW6o1bDcvk3sQIRqypvOEGr4xwKK8vChMbv2J&#10;PvC4jrXgEgq50dDE2OdShqpBZ8LU90jsHfzgTGQ51NIO5sTlrpMqSebSmZZ4oTE9PjVYfa1Hp+GV&#10;lrtldrgZm7fP3ez9OVVbtXJaX1+lySOIiOf4F4ZffEaHkpn2fiQbRKdBzbKMoxoe7kCwr+aKr+w1&#10;ZLcpyLKQ/w+UP1BLAwQUAAAACACHTuJAKwp0i3oCAADtBAAADgAAAGRycy9lMm9Eb2MueG1srVTN&#10;bhMxEL4j8Q6W73SzS9OmUTdV1CgIqaKVCuLseL1ZS/7Ddn7KyyBx4yF4HMRr8Nm7TaPCoQf24J3x&#10;jL/xfDPjy6u9VmQrfJDW1LQ8GVEiDLeNNOuafvq4fDOhJERmGqasETV9EIFezV6/uty5qahsZ1Uj&#10;PAGICdOdq2kXo5sWReCd0CycWCcMjK31mkWofl00nu2ArlVRjUZnxc76xnnLRQjYXfRGOiD6lwDa&#10;tpVcLCzfaGFij+qFYhEphU66QGf5tm0reLxt2yAiUTVFpjGvCAJ5ldZidsmma89cJ/lwBfaSKzzL&#10;STNpEPQAtWCRkY2Xf0Fpyb0Nto0n3OqiTyQzgizK0TNu7jvmRM4FVAd3ID38P1j+YXvniWxqWp1R&#10;YphGxX9/+/Hr53eCDbCzc2EKp3t35wctQEyp7luv0x9JkH1m9OHAqNhHwrFZVm8n1ZgSDlN5VlYX&#10;mfHi6bDzIb4TVpMk1NSjYJlHtr0JEQHh+uiSYhm7lErloilDdinA+Qi15Ayd2KIDIGqHbIJZU8LU&#10;Gi3Oo8+QwSrZpOMJKPj16lp5smVojGo5ribL3qljjeh3xyN8iQLcYXDv5WOcdLkFC11/JIfoe0rL&#10;iDFRUtd0koAekZQBSCK1pzFJK9s8oAje9t0ZHF9KwN6wEO+YRzsiQQxsvMXSKous7SBR0ln/9V/7&#10;yR9dAislO7Q3GPmyYV5Qot4b9M9FeXqa5iErp+PzCoo/tqyOLWajry2IKvE0OJ7F5B/Vo9h6qz9j&#10;rucpKkzMcMTuuR+U69iPHV4GLubz7IYZcCzemHvHE3hf4fkm2lbm4j+xM5CGKcg1GCY2jdmxnr2e&#10;Xqn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6KwNvYAAAACAEAAA8AAAAAAAAAAQAgAAAAIgAA&#10;AGRycy9kb3ducmV2LnhtbFBLAQIUABQAAAAIAIdO4kArCnSLegIAAO0EAAAOAAAAAAAAAAEAIAAA&#10;ACcBAABkcnMvZTJvRG9jLnhtbFBLBQYAAAAABgAGAFkBAAATBgAAAAA=&#10;">
                      <v:fill on="f" focussize="0,0"/>
                      <v:stroke weight="1pt" color="#2F528F [3204]"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61312" behindDoc="0" locked="0" layoutInCell="1" allowOverlap="1">
                      <wp:simplePos x="0" y="0"/>
                      <wp:positionH relativeFrom="column">
                        <wp:posOffset>558165</wp:posOffset>
                      </wp:positionH>
                      <wp:positionV relativeFrom="paragraph">
                        <wp:posOffset>56515</wp:posOffset>
                      </wp:positionV>
                      <wp:extent cx="123825" cy="161290"/>
                      <wp:effectExtent l="6350" t="6350" r="22225" b="22860"/>
                      <wp:wrapNone/>
                      <wp:docPr id="27" name="矩形 27"/>
                      <wp:cNvGraphicFramePr/>
                      <a:graphic xmlns:a="http://schemas.openxmlformats.org/drawingml/2006/main">
                        <a:graphicData uri="http://schemas.microsoft.com/office/word/2010/wordprocessingShape">
                          <wps:wsp>
                            <wps:cNvSpPr/>
                            <wps:spPr>
                              <a:xfrm>
                                <a:off x="1537335" y="407797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95pt;margin-top:4.45pt;height:12.7pt;width:9.75pt;z-index:251661312;v-text-anchor:middle;mso-width-relative:page;mso-height-relative:page;" filled="f" stroked="t" coordsize="21600,21600" o:gfxdata="UEsDBAoAAAAAAIdO4kAAAAAAAAAAAAAAAAAEAAAAZHJzL1BLAwQUAAAACACHTuJAuvJoltYAAAAH&#10;AQAADwAAAGRycy9kb3ducmV2LnhtbE2OzU7DMBCE70i8g7VIXBC18yNaQpweKAi4QanUqxtvk0C8&#10;jmKnLW/P9gSn0WhGM1+5PLleHHAMnScNyUyBQKq97ajRsPl8vl2ACNGQNb0n1PCDAZbV5UVpCuuP&#10;9IGHdWwEj1AojIY2xqGQMtQtOhNmfkDibO9HZyLbsZF2NEced71MlbqTznTED60Z8LHF+ns9OQ0v&#10;tNqusv3N1L59bfP3pyTdpK9O6+urRD2AiHiKf2U44zM6VMy08xPZIHoNi/k9N1lZzrGa5yB2GrI8&#10;A1mV8j9/9QtQSwMEFAAAAAgAh07iQGlj9oaGAgAA+QQAAA4AAABkcnMvZTJvRG9jLnhtbK1UzW4T&#10;MRC+I/EOlu90k03SpFE3VdQoCKmCSgVxdrzerCX/YTs/5WWQuPEQPA7iNfjs3bZR4dADOTgzntlv&#10;Zr6Z8eXVUSuyFz5Iayo6PBtQIgy3tTTbin76uH4zoyREZmqmrBEVvReBXi1ev7o8uLkobWtVLTwB&#10;iAnzg6toG6ObF0XgrdAsnFknDIyN9ZpFqH5b1J4dgK5VUQ4G58XB+tp5y0UIuF11Rtoj+pcA2qaR&#10;XKws32lhYofqhWIRJYVWukAXOdumETx+aJogIlEVRaUxnwgCeZPOYnHJ5lvPXCt5nwJ7SQrPatJM&#10;GgR9hFqxyMjOy7+gtOTeBtvEM2510RWSGUEVw8Ezbu5a5kSuBVQH90h6+H+w/P3+1hNZV7ScUmKY&#10;Rsd/f/vx6+d3gguwc3BhDqc7d+t7LUBMpR4br9M/iiBHTNJkNB2NJpTcV3Q8mE4vpj274hgJTw7l&#10;aFbCzuEwPB+WF9lePAE5H+JbYTVJQkU9mpc5ZfubEBEcrg8uKa6xa6lUbqAy5JACTAfoK2eYygbT&#10;AFE7VBbMlhKmthh3Hn2GDFbJOn2egILfbq6VJ3uGISnXk3K27pxaVovudjLAL9GBHHr3Tj7FScmt&#10;WGi7T3KIbr60jFgZJXVFZwnoAUkZgCSCO0qTtLH1PRribTepwfG1BOwNC/GWeYwmCsTyxg84GmVR&#10;te0lSlrrv/7rPvljYmCl5IBRByNfdswLStQ7g1m6GI7HaTeyMp5MSyj+1LI5tZidvrYgaohnwvEs&#10;Jv+oHsTGW/0ZO75MUWFihiN2x32vXMduBfFKcLFcZjfsg2Pxxtw5nsC7Di930TYyN/+JnZ40bETu&#10;Qb+9aeVO9ez19GI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68miW1gAAAAcBAAAPAAAAAAAA&#10;AAEAIAAAACIAAABkcnMvZG93bnJldi54bWxQSwECFAAUAAAACACHTuJAaWP2hoYCAAD5BAAADgAA&#10;AAAAAAABACAAAAAlAQAAZHJzL2Uyb0RvYy54bWxQSwUGAAAAAAYABgBZAQAAHQYAAAAA&#10;">
                      <v:fill on="f" focussize="0,0"/>
                      <v:stroke weight="1pt" color="#2F528F [3204]" miterlimit="8" joinstyle="miter"/>
                      <v:imagedata o:title=""/>
                      <o:lock v:ext="edit" aspectratio="f"/>
                    </v:rect>
                  </w:pict>
                </mc:Fallback>
              </mc:AlternateContent>
            </w:r>
            <w:r>
              <w:rPr>
                <w:rFonts w:hint="eastAsia"/>
                <w:sz w:val="28"/>
                <w:szCs w:val="28"/>
                <w:vertAlign w:val="baseline"/>
                <w:lang w:val="en-US" w:eastAsia="zh-CN"/>
              </w:rPr>
              <w:t xml:space="preserve">电子屏     会  标     坐席牌      茶        矿泉水      </w:t>
            </w:r>
          </w:p>
          <w:p>
            <w:pPr>
              <w:rPr>
                <w:rFonts w:hint="default"/>
                <w:sz w:val="28"/>
                <w:szCs w:val="28"/>
                <w:vertAlign w:val="baseline"/>
                <w:lang w:val="en-US" w:eastAsia="zh-CN"/>
              </w:rPr>
            </w:pPr>
            <w:r>
              <w:rPr>
                <w:sz w:val="28"/>
                <w:szCs w:val="28"/>
              </w:rPr>
              <mc:AlternateContent>
                <mc:Choice Requires="wps">
                  <w:drawing>
                    <wp:anchor distT="0" distB="0" distL="114300" distR="114300" simplePos="0" relativeHeight="251675648" behindDoc="0" locked="0" layoutInCell="1" allowOverlap="1">
                      <wp:simplePos x="0" y="0"/>
                      <wp:positionH relativeFrom="column">
                        <wp:posOffset>4622165</wp:posOffset>
                      </wp:positionH>
                      <wp:positionV relativeFrom="paragraph">
                        <wp:posOffset>64770</wp:posOffset>
                      </wp:positionV>
                      <wp:extent cx="123825" cy="161290"/>
                      <wp:effectExtent l="6350" t="6350" r="22225" b="22860"/>
                      <wp:wrapNone/>
                      <wp:docPr id="28" name="矩形 28"/>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3.95pt;margin-top:5.1pt;height:12.7pt;width:9.75pt;z-index:251675648;v-text-anchor:middle;mso-width-relative:page;mso-height-relative:page;" filled="f" stroked="t" coordsize="21600,21600" o:gfxdata="UEsDBAoAAAAAAIdO4kAAAAAAAAAAAAAAAAAEAAAAZHJzL1BLAwQUAAAACACHTuJAwI5XOdkAAAAJ&#10;AQAADwAAAGRycy9kb3ducmV2LnhtbE2PwU7DMBBE70j8g7VIXBC144YGQpweKAi4QanUqxu7cSBe&#10;R7HTlr9nOcFxNU8zb6vlyffsYMfYBVSQzQQwi00wHbYKNh9P17fAYtJodB/QKvi2EZb1+VmlSxOO&#10;+G4P69QyKsFYagUupaHkPDbOeh1nYbBI2T6MXic6x5abUR+p3PdcCrHgXndIC04P9sHZ5ms9eQXP&#10;uNqu5vuryb1+bvO3x0xu5ItX6vIiE/fAkj2lPxh+9UkdanLahQlNZL2CQhZ3hFIgJDACirzIge0U&#10;zG8WwOuK//+g/gFQSwMEFAAAAAgAh07iQKp8E6GBAgAA+AQAAA4AAABkcnMvZTJvRG9jLnhtbK1U&#10;zW4TMRC+I/EOlu90k6Vp06ibKmoUhFTRSgVxdrzerCX/YTvZlJdB4sZD8DiI1+Czd5tGhUMP7ME7&#10;4xl/4/lmxpdXe63ITvggrano+GREiTDc1tJsKvrp4+rNlJIQmamZskZU9EEEejV//eqyczNR2taq&#10;WngCEBNmnatoG6ObFUXgrdAsnFgnDIyN9ZpFqH5T1J51QNeqKEejs6KzvnbechECdpe9kQ6I/iWA&#10;tmkkF0vLt1qY2KN6oVhESqGVLtB5vm3TCB5vmyaISFRFkWnMK4JAXqe1mF+y2cYz10o+XIG95ArP&#10;ctJMGgQ9QC1ZZGTr5V9QWnJvg23iCbe66BPJjCCL8egZN/ctcyLnAqqDO5Ae/h8s/7C780TWFS1R&#10;d8M0Kv77249fP78TbICdzoUZnO7dnR+0ADGlum+8Tn8kQfaZ0YcDo2IfCcfmuHw7LSeUcJjGZ+Py&#10;IjNePB12PsR3wmqShIp6FCzzyHY3ISIgXB9dUixjV1KpXDRlSJcCnI9QS87QiQ06AKJ2yCaYDSVM&#10;bdDiPPoMGaySdTqegILfrK+VJzuGxihXk3K66p1aVot+dzLClyjAHQb3Xj7GSZdbstD2R3KIvqe0&#10;jBgTJXVFpwnoEUkZgCRSexqTFPfr/cDt2tYPqIe3faMGx1cSEW5YiHfMozORK2Y33mJplAUBdpAo&#10;aa3/+q/95I+GgZWSDp0Ocr5smReUqPcGrXQxPj1No5GV08l5CcUfW9bHFrPV1xacjfFKOJ7F5B/V&#10;o9h4qz9jxBcpKkzMcMTuyzAo17GfQDwSXCwW2Q3j4Fi8MfeOJ/C+2ItttI3MfZCI6tkZ+MNA5HIM&#10;w5sm7ljPXk8P1v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wI5XOdkAAAAJAQAADwAAAAAAAAAB&#10;ACAAAAAiAAAAZHJzL2Rvd25yZXYueG1sUEsBAhQAFAAAAAgAh07iQKp8E6GBAgAA+AQAAA4AAAAA&#10;AAAAAQAgAAAAKAEAAGRycy9lMm9Eb2MueG1sUEsFBgAAAAAGAAYAWQEAABsGAAAAAA==&#10;">
                      <v:fill on="f" focussize="0,0"/>
                      <v:stroke weight="1pt" color="#2F528F [3204]" miterlimit="8" joinstyle="miter"/>
                      <v:imagedata o:title=""/>
                      <o:lock v:ext="edit" aspectratio="f"/>
                      <v:textbox>
                        <w:txbxContent>
                          <w:p>
                            <w:pPr>
                              <w:jc w:val="center"/>
                            </w:pPr>
                          </w:p>
                        </w:txbxContent>
                      </v:textbox>
                    </v:rect>
                  </w:pict>
                </mc:Fallback>
              </mc:AlternateContent>
            </w:r>
            <w:r>
              <w:rPr>
                <w:sz w:val="28"/>
                <w:szCs w:val="28"/>
              </w:rPr>
              <mc:AlternateContent>
                <mc:Choice Requires="wps">
                  <w:drawing>
                    <wp:anchor distT="0" distB="0" distL="114300" distR="114300" simplePos="0" relativeHeight="251674624" behindDoc="0" locked="0" layoutInCell="1" allowOverlap="1">
                      <wp:simplePos x="0" y="0"/>
                      <wp:positionH relativeFrom="column">
                        <wp:posOffset>3578860</wp:posOffset>
                      </wp:positionH>
                      <wp:positionV relativeFrom="paragraph">
                        <wp:posOffset>56515</wp:posOffset>
                      </wp:positionV>
                      <wp:extent cx="123825" cy="161290"/>
                      <wp:effectExtent l="6350" t="6350" r="22225" b="22860"/>
                      <wp:wrapNone/>
                      <wp:docPr id="29" name="矩形 29"/>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1.8pt;margin-top:4.45pt;height:12.7pt;width:9.75pt;z-index:251674624;v-text-anchor:middle;mso-width-relative:page;mso-height-relative:page;" filled="f" stroked="t" coordsize="21600,21600" o:gfxdata="UEsDBAoAAAAAAIdO4kAAAAAAAAAAAAAAAAAEAAAAZHJzL1BLAwQUAAAACACHTuJA5tPabNkAAAAI&#10;AQAADwAAAGRycy9kb3ducmV2LnhtbE2PMU/DMBSEdyT+g/WQWBB1ErdRmsbpQEHABqVSVzd+jQPx&#10;cxQ7bfn3mAnG053uvqvWF9uzE46+cyQhnSXAkBqnO2ol7D6e7gtgPijSqneEEr7Rw7q+vqpUqd2Z&#10;3vG0DS2LJeRLJcGEMJSc+8agVX7mBqToHd1oVYhybLke1TmW255nSZJzqzqKC0YN+GCw+dpOVsIz&#10;bfYbcbybzOvnfv72mGa77MVKeXuTJitgAS/hLwy/+BEd6sh0cBNpz3oJi1zkMSqhWAKL/qIQKbCD&#10;BDEXwOuK/z9Q/wBQSwMEFAAAAAgAh07iQOChElh6AgAA7QQAAA4AAABkcnMvZTJvRG9jLnhtbK1U&#10;zW4TMRC+I/EOlu90k6Vp06ibKmoUhFTRSgVxdrzerCX/YTvZlJdB4sZD8DiI1+Czd5tGhUMP7ME7&#10;4xl/4/lmxpdXe63ITvggrano+GREiTDc1tJsKvrp4+rNlJIQmamZskZU9EEEejV//eqyczNR2taq&#10;WngCEBNmnatoG6ObFUXgrdAsnFgnDIyN9ZpFqH5T1J51QNeqKEejs6KzvnbechECdpe9kQ6I/iWA&#10;tmkkF0vLt1qY2KN6oVhESqGVLtB5vm3TCB5vmyaISFRFkWnMK4JAXqe1mF+y2cYz10o+XIG95ArP&#10;ctJMGgQ9QC1ZZGTr5V9QWnJvg23iCbe66BPJjCCL8egZN/ctcyLnAqqDO5Ae/h8s/7C780TWFS0v&#10;KDFMo+K/v/349fM7wQbY6VyYwene3flBCxBTqvvG6/RHEmSfGX04MCr2kXBsjsu303JCCYdpfDYu&#10;LzLjxdNh50N8J6wmSaioR8Eyj2x3EyICwvXRJcUydiWVykVThnQpwPkIteQMndigAyBqh2yC2VDC&#10;1AYtzqPPkMEqWafjCSj4zfpaebJjaIxyNSmnq96pZbXodycjfIkC3GFw7+VjnHS5JQttfySH6HtK&#10;y4gxUVJXdJqAHpGUAUgitacxSWtbP6AI3vbdGRxfScDesBDvmEc7IkEMbLzF0iiLrO0gUdJa//Vf&#10;+8kfXQIrJR3aG4x82TIvKFHvDfrnYnx6muYhK6eT8xKKP7asjy1mq68tiBrjaXA8i8k/qkex8VZ/&#10;xlwvUlSYmOGI3XM/KNexHzu8DFwsFtkNM+BYvDH3jifwvsKLbbSNzMV/YmcgDVOQazBMbBqzYz17&#10;Pb1S8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m09ps2QAAAAgBAAAPAAAAAAAAAAEAIAAAACIA&#10;AABkcnMvZG93bnJldi54bWxQSwECFAAUAAAACACHTuJA4KESWHoCAADtBAAADgAAAAAAAAABACAA&#10;AAAoAQAAZHJzL2Uyb0RvYy54bWxQSwUGAAAAAAYABgBZAQAAFAYAAAAA&#10;">
                      <v:fill on="f" focussize="0,0"/>
                      <v:stroke weight="1pt" color="#2F528F [3204]"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68480" behindDoc="0" locked="0" layoutInCell="1" allowOverlap="1">
                      <wp:simplePos x="0" y="0"/>
                      <wp:positionH relativeFrom="column">
                        <wp:posOffset>2537460</wp:posOffset>
                      </wp:positionH>
                      <wp:positionV relativeFrom="paragraph">
                        <wp:posOffset>66040</wp:posOffset>
                      </wp:positionV>
                      <wp:extent cx="123825" cy="161290"/>
                      <wp:effectExtent l="6350" t="6350" r="22225" b="22860"/>
                      <wp:wrapNone/>
                      <wp:docPr id="30" name="矩形 30"/>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9.8pt;margin-top:5.2pt;height:12.7pt;width:9.75pt;z-index:251668480;v-text-anchor:middle;mso-width-relative:page;mso-height-relative:page;" filled="f" stroked="t" coordsize="21600,21600" o:gfxdata="UEsDBAoAAAAAAIdO4kAAAAAAAAAAAAAAAAAEAAAAZHJzL1BLAwQUAAAACACHTuJAbfAFmtgAAAAJ&#10;AQAADwAAAGRycy9kb3ducmV2LnhtbE2PwU7DMBBE70j8g7VIXBC1nYaqCXF6oCDgBqVSr27sxoF4&#10;HcVOW/6e5QTH1RvNvK1WZ9+zox1jF1CBnAlgFptgOmwVbD+ebpfAYtJodB/QKvi2EVb15UWlSxNO&#10;+G6Pm9QyKsFYagUupaHkPDbOeh1nYbBI7BBGrxOdY8vNqE9U7nueCbHgXndIC04P9sHZ5mszeQXP&#10;uN6t54ebyb1+7vK3R5ltsxev1PWVFPfAkj2nvzD86pM61OS0DxOayHoF86JYUJSAyIFRIJeFBLYn&#10;crcEXlf8/wf1D1BLAwQUAAAACACHTuJAykXdJXoCAADtBAAADgAAAGRycy9lMm9Eb2MueG1srVRL&#10;btswEN0X6B0I7htZSpw4RuTAiOGiQNAESIuuaYqyCPBXkv6klynQXQ+R4xS9Rh8pJTHSLrKoF/IM&#10;Z/hm5s0MLy73WpGt8EFaU9PyaESJMNw20qxr+vnT8t2EkhCZaZiyRtT0XgR6OXv75mLnpqKynVWN&#10;8AQgJkx3rqZdjG5aFIF3QrNwZJ0wMLbWaxah+nXReLYDulZFNRqdFjvrG+ctFyHgdNEb6YDoXwNo&#10;21ZysbB8o4WJPaoXikWUFDrpAp3lbNtW8HjTtkFEomqKSmP+IgjkVfoWsws2XXvmOsmHFNhrUnhR&#10;k2bSIOgT1IJFRjZe/gWlJfc22DYecauLvpDMCKooRy+4ueuYE7kWUB3cE+nh/8Hyj9tbT2RT02NQ&#10;YphGx39///nr4QfBAdjZuTCF05279YMWIKZS963X6R9FkH1m9P6JUbGPhOOwrI4n1ZgSDlN5Wlbn&#10;GbN4vux8iO+F1SQJNfVoWOaRba9DREC4PrqkWMYupVK5acqQXQpwNkLinGESW0wARO1QTTBrSpha&#10;Y8R59BkyWCWbdD0BBb9eXSlPtgyDUS3H1WTZO3WsEf3peIRfogA5DO69fIiTkluw0PVXcoh+prSM&#10;WBMldU0nCegRSRmAJFJ7GpO0ss09muBtP53B8aUE7DUL8ZZ5jCMKxMLGG3xaZVG1HSRKOuu//es8&#10;+WNKYKVkh/EGI183zAtK1AeD+TkvT04AG7NyMj6roPhDy+rQYjb6yoKoEk+D41lM/lE9iq23+gv2&#10;ep6iwsQMR+ye+0G5iv3a4WXgYj7PbtgBx+K1uXM8gfcdnm+ibWVu/jM7A2nYgtyDYWPTmh3q2ev5&#10;lZr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3wBZrYAAAACQEAAA8AAAAAAAAAAQAgAAAAIgAA&#10;AGRycy9kb3ducmV2LnhtbFBLAQIUABQAAAAIAIdO4kDKRd0legIAAO0EAAAOAAAAAAAAAAEAIAAA&#10;ACcBAABkcnMvZTJvRG9jLnhtbFBLBQYAAAAABgAGAFkBAAATBgAAAAA=&#10;">
                      <v:fill on="f" focussize="0,0"/>
                      <v:stroke weight="1pt" color="#2F528F [3204]"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65408" behindDoc="0" locked="0" layoutInCell="1" allowOverlap="1">
                      <wp:simplePos x="0" y="0"/>
                      <wp:positionH relativeFrom="column">
                        <wp:posOffset>1555750</wp:posOffset>
                      </wp:positionH>
                      <wp:positionV relativeFrom="paragraph">
                        <wp:posOffset>53340</wp:posOffset>
                      </wp:positionV>
                      <wp:extent cx="123825" cy="161290"/>
                      <wp:effectExtent l="6350" t="6350" r="22225" b="22860"/>
                      <wp:wrapNone/>
                      <wp:docPr id="31" name="矩形 31"/>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2.5pt;margin-top:4.2pt;height:12.7pt;width:9.75pt;z-index:251665408;v-text-anchor:middle;mso-width-relative:page;mso-height-relative:page;" filled="f" stroked="t" coordsize="21600,21600" o:gfxdata="UEsDBAoAAAAAAIdO4kAAAAAAAAAAAAAAAAAEAAAAZHJzL1BLAwQUAAAACACHTuJAFsSHmNkAAAAI&#10;AQAADwAAAGRycy9kb3ducmV2LnhtbE2PMU/DMBSEdyT+g/WQWBB14qRVlMbpQEHAVkqlrm78GqfE&#10;z1HstOXfYyYYT3e6+65aXW3Pzjj6zpGEdJYAQ2qc7qiVsPt8eSyA+aBIq94RSvhGD6v69qZSpXYX&#10;+sDzNrQslpAvlQQTwlBy7huDVvmZG5Cid3SjVSHKseV6VJdYbnsukmTBreooLhg14JPB5ms7WQmv&#10;tN6vs+PDZN5P+3zznIqdeLNS3t+lyRJYwGv4C8MvfkSHOjId3ETas16CyOfxS5BQ5MCiLxb5HNhB&#10;QpYVwOuK/z9Q/wBQSwMEFAAAAAgAh07iQIumpKF6AgAA7QQAAA4AAABkcnMvZTJvRG9jLnhtbK1U&#10;S27bMBDdF+gdCO4bWUqcOEbkwIjhokDQBEiLrmmKsgjwV5L+pJcp0F0PkeMUvUYfKSUx0i6yqBf0&#10;DGf4ZubNjC4u91qRrfBBWlPT8mhEiTDcNtKsa/r50/LdhJIQmWmYskbU9F4Eejl7++Zi56aisp1V&#10;jfAEICZMd66mXYxuWhSBd0KzcGSdMDC21msWofp10Xi2A7pWRTUanRY76xvnLRch4HbRG+mA6F8D&#10;aNtWcrGwfKOFiT2qF4pFlBQ66QKd5WzbVvB407ZBRKJqikpjPhEE8iqdxeyCTdeeuU7yIQX2mhRe&#10;1KSZNAj6BLVgkZGNl39Bacm9DbaNR9zqoi8kM4IqytELbu465kSuBVQH90R6+H+w/OP21hPZ1PS4&#10;pMQwjY7//v7z18MPgguws3NhCqc7d+sHLUBMpe5br9M/iiD7zOj9E6NiHwnHZVkdT6oxJRym8rSs&#10;zjPjxfNj50N8L6wmSaipR8Myj2x7HSICwvXRJcUydimVyk1ThuxSgLMReskZJrHFBEDUDtUEs6aE&#10;qTVGnEefIYNVsknPE1Dw69WV8mTLMBjVclxNlr1TxxrR345H+CUKkMPg3suHOCm5BQtd/ySH6GdK&#10;y4g1UVLXdJKAHpGUAUgitacxSSvb3KMJ3vbTGRxfSsBesxBvmcc4okAsbLzB0SqLqu0gUdJZ/+1f&#10;98kfUwIrJTuMNxj5umFeUKI+GMzPeXlykvYhKyfjswqKP7SsDi1mo68siMKIILssJv+oHsXWW/0F&#10;ez1PUWFihiN2z/2gXMV+7fBl4GI+z27YAcfitblzPIH3HZ5vom1lbv4zOwNp2ILcg2Fj05od6tnr&#10;+Ss1+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WxIeY2QAAAAgBAAAPAAAAAAAAAAEAIAAAACIA&#10;AABkcnMvZG93bnJldi54bWxQSwECFAAUAAAACACHTuJAi6akoXoCAADtBAAADgAAAAAAAAABACAA&#10;AAAoAQAAZHJzL2Uyb0RvYy54bWxQSwUGAAAAAAYABgBZAQAAFAYAAAAA&#10;">
                      <v:fill on="f" focussize="0,0"/>
                      <v:stroke weight="1pt" color="#2F528F [3204]" miterlimit="8" joinstyle="miter"/>
                      <v:imagedata o:title=""/>
                      <o:lock v:ext="edit" aspectratio="f"/>
                    </v:rect>
                  </w:pict>
                </mc:Fallback>
              </mc:AlternateConten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558165</wp:posOffset>
                      </wp:positionH>
                      <wp:positionV relativeFrom="paragraph">
                        <wp:posOffset>86995</wp:posOffset>
                      </wp:positionV>
                      <wp:extent cx="123825" cy="161290"/>
                      <wp:effectExtent l="6350" t="6350" r="22225" b="22860"/>
                      <wp:wrapNone/>
                      <wp:docPr id="32" name="矩形 32"/>
                      <wp:cNvGraphicFramePr/>
                      <a:graphic xmlns:a="http://schemas.openxmlformats.org/drawingml/2006/main">
                        <a:graphicData uri="http://schemas.microsoft.com/office/word/2010/wordprocessingShape">
                          <wps:wsp>
                            <wps:cNvSpPr/>
                            <wps:spPr>
                              <a:xfrm>
                                <a:off x="0" y="0"/>
                                <a:ext cx="123825" cy="161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95pt;margin-top:6.85pt;height:12.7pt;width:9.75pt;z-index:251663360;v-text-anchor:middle;mso-width-relative:page;mso-height-relative:page;" filled="f" stroked="t" coordsize="21600,21600" o:gfxdata="UEsDBAoAAAAAAIdO4kAAAAAAAAAAAAAAAAAEAAAAZHJzL1BLAwQUAAAACACHTuJAq2N28dgAAAAI&#10;AQAADwAAAGRycy9kb3ducmV2LnhtbE2PwU7DMBBE70j8g7VIXBC1k1SkTeP0QEHQG7SVenXjbRyI&#10;11HstOXvcU9wnJ3RzNtyebEdO+HgW0cSkokAhlQ73VIjYbd9fZwB80GRVp0jlPCDHpbV7U2pCu3O&#10;9ImnTWhYLCFfKAkmhL7g3NcGrfIT1yNF7+gGq0KUQ8P1oM6x3HY8FeKJW9VSXDCqx2eD9fdmtBLe&#10;aLVfZceH0ay/9tOPlyTdpe9Wyvu7RCyABbyEvzBc8SM6VJHp4EbSnnUSZvk8JuM9y4FdfZFPgR0k&#10;ZPMEeFXy/w9Uv1BLAwQUAAAACACHTuJACYVf9nsCAADtBAAADgAAAGRycy9lMm9Eb2MueG1srVRL&#10;btswEN0X6B0I7htZSpw4RuTAiOGiQNAESIuuaYqyCPBXkv6klynQXQ+R4xS9Rh8pJTHSLrKoFtQM&#10;Z/iG82aGF5d7rchW+CCtqWl5NKJEGG4badY1/fxp+W5CSYjMNExZI2p6LwK9nL19c7FzU1HZzqpG&#10;eAIQE6Y7V9MuRjctisA7oVk4sk4YGFvrNYtQ/bpoPNsBXauiGo1Oi531jfOWixCwu+iNdED0rwG0&#10;bSu5WFi+0cLEHtULxSJSCp10gc7ybdtW8HjTtkFEomqKTGNeEQTyKq3F7IJN1565TvLhCuw1V3iR&#10;k2bSIOgT1IJFRjZe/gWlJfc22DYecauLPpHMCLIoRy+4ueuYEzkXUB3cE+nh/8Hyj9tbT2RT0+OK&#10;EsM0Kv77+89fDz8INsDOzoUpnO7crR+0ADGlum+9Tn8kQfaZ0fsnRsU+Eo7NsjqeVGNKOEzlaVmd&#10;Z8aL58POh/heWE2SUFOPgmUe2fY6RASE66NLimXsUiqVi6YM2aUAZyPUkjN0YosOgKgdsglmTQlT&#10;a7Q4jz5DBqtkk44noODXqyvlyZahMarluJose6eONaLfHY/wJQpwh8G9lw9x0uUWLHT9kRyi7ykt&#10;I8ZESV3TSQJ6RFIGIInUnsYkrWxzjyJ423dncHwpAXvNQrxlHu2IBDGw8QZLqyyytoNESWf9t3/t&#10;J390CayU7NDeYOTrhnlBifpg0D/n5clJmoesnIzPKij+0LI6tJiNvrIgqsTT4HgWk39Uj2Lrrf6C&#10;uZ6nqDAxwxG7535QrmI/dngZuJjPsxtmwLF4be4cT+B9heebaFuZi//MzkAapiDXYJjYNGaHevZ6&#10;fqV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rY3bx2AAAAAgBAAAPAAAAAAAAAAEAIAAAACIA&#10;AABkcnMvZG93bnJldi54bWxQSwECFAAUAAAACACHTuJACYVf9nsCAADtBAAADgAAAAAAAAABACAA&#10;AAAnAQAAZHJzL2Uyb0RvYy54bWxQSwUGAAAAAAYABgBZAQAAFAYAAAAA&#10;">
                      <v:fill on="f" focussize="0,0"/>
                      <v:stroke weight="1pt" color="#2F528F [3204]" miterlimit="8" joinstyle="miter"/>
                      <v:imagedata o:title=""/>
                      <o:lock v:ext="edit" aspectratio="f"/>
                    </v:rect>
                  </w:pict>
                </mc:Fallback>
              </mc:AlternateContent>
            </w:r>
            <w:r>
              <w:rPr>
                <w:rFonts w:hint="eastAsia"/>
                <w:sz w:val="28"/>
                <w:szCs w:val="28"/>
                <w:vertAlign w:val="baseline"/>
                <w:lang w:val="en-US" w:eastAsia="zh-CN"/>
              </w:rPr>
              <w:t>毛  巾     报告台     投影仪      签到台    礼仪人员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920" w:type="dxa"/>
            <w:gridSpan w:val="4"/>
          </w:tcPr>
          <w:p>
            <w:pPr>
              <w:rPr>
                <w:rFonts w:hint="eastAsia"/>
                <w:sz w:val="28"/>
                <w:szCs w:val="28"/>
                <w:vertAlign w:val="baseline"/>
                <w:lang w:val="en-US" w:eastAsia="zh-CN"/>
              </w:rPr>
            </w:pPr>
            <w:r>
              <w:rPr>
                <w:rFonts w:hint="eastAsia"/>
                <w:sz w:val="28"/>
                <w:szCs w:val="28"/>
                <w:vertAlign w:val="baseline"/>
                <w:lang w:val="en-US" w:eastAsia="zh-CN"/>
              </w:rPr>
              <w:t xml:space="preserve">话筒设置：   有线话筒   支，设置人名：      </w:t>
            </w:r>
          </w:p>
          <w:p>
            <w:pPr>
              <w:ind w:firstLine="1680" w:firstLineChars="600"/>
              <w:rPr>
                <w:rFonts w:hint="default"/>
                <w:sz w:val="28"/>
                <w:szCs w:val="28"/>
                <w:vertAlign w:val="baseline"/>
                <w:lang w:val="en-US" w:eastAsia="zh-CN"/>
              </w:rPr>
            </w:pPr>
            <w:r>
              <w:rPr>
                <w:rFonts w:hint="eastAsia"/>
                <w:sz w:val="28"/>
                <w:szCs w:val="28"/>
                <w:vertAlign w:val="baseline"/>
                <w:lang w:val="en-US" w:eastAsia="zh-CN"/>
              </w:rPr>
              <w:t xml:space="preserve"> 无线话筒   支；设置人名：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0" w:type="dxa"/>
            <w:gridSpan w:val="4"/>
          </w:tcPr>
          <w:p>
            <w:pPr>
              <w:rPr>
                <w:rFonts w:hint="eastAsia"/>
                <w:sz w:val="28"/>
                <w:szCs w:val="28"/>
                <w:vertAlign w:val="baseline"/>
                <w:lang w:val="en-US" w:eastAsia="zh-CN"/>
              </w:rPr>
            </w:pPr>
            <w:r>
              <w:rPr>
                <w:rFonts w:hint="eastAsia"/>
                <w:sz w:val="28"/>
                <w:szCs w:val="28"/>
                <w:vertAlign w:val="baseline"/>
                <w:lang w:val="en-US" w:eastAsia="zh-CN"/>
              </w:rPr>
              <w:t>喷绘会标内容：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920" w:type="dxa"/>
            <w:gridSpan w:val="4"/>
          </w:tcPr>
          <w:p>
            <w:pPr>
              <w:rPr>
                <w:rFonts w:hint="eastAsia"/>
                <w:sz w:val="28"/>
                <w:szCs w:val="28"/>
                <w:vertAlign w:val="baseline"/>
                <w:lang w:val="en-US" w:eastAsia="zh-CN"/>
              </w:rPr>
            </w:pPr>
            <w:r>
              <w:rPr>
                <w:rFonts w:hint="eastAsia"/>
                <w:sz w:val="28"/>
                <w:szCs w:val="28"/>
                <w:vertAlign w:val="baseline"/>
                <w:lang w:val="en-US" w:eastAsia="zh-CN"/>
              </w:rPr>
              <w:t>十楼电子背景屏、侧屏内容：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8920" w:type="dxa"/>
            <w:gridSpan w:val="4"/>
          </w:tcPr>
          <w:p>
            <w:pPr>
              <w:rPr>
                <w:rFonts w:hint="default"/>
                <w:sz w:val="28"/>
                <w:szCs w:val="28"/>
                <w:vertAlign w:val="baseline"/>
                <w:lang w:val="en-US" w:eastAsia="zh-CN"/>
              </w:rPr>
            </w:pPr>
            <w:r>
              <w:rPr>
                <w:rFonts w:hint="eastAsia"/>
                <w:sz w:val="28"/>
                <w:szCs w:val="28"/>
                <w:vertAlign w:val="baseline"/>
                <w:lang w:val="en-US" w:eastAsia="zh-CN"/>
              </w:rPr>
              <w:t>会议中心进门电子屏内容：</w:t>
            </w:r>
          </w:p>
          <w:p>
            <w:pPr>
              <w:rPr>
                <w:rFonts w:hint="eastAsia"/>
                <w:sz w:val="28"/>
                <w:szCs w:val="28"/>
                <w:vertAlign w:val="baseline"/>
                <w:lang w:val="en-US" w:eastAsia="zh-CN"/>
              </w:rPr>
            </w:pPr>
            <w:r>
              <w:rPr>
                <w:rFonts w:hint="eastAsia"/>
                <w:sz w:val="28"/>
                <w:szCs w:val="28"/>
                <w:vertAlign w:val="baseline"/>
                <w:lang w:val="en-US" w:eastAsia="zh-CN"/>
              </w:rPr>
              <w:t>大礼堂电子大屏内容：</w:t>
            </w:r>
          </w:p>
          <w:p>
            <w:pPr>
              <w:rPr>
                <w:rFonts w:hint="eastAsia"/>
                <w:sz w:val="28"/>
                <w:szCs w:val="28"/>
                <w:vertAlign w:val="baseline"/>
                <w:lang w:val="en-US" w:eastAsia="zh-CN"/>
              </w:rPr>
            </w:pPr>
            <w:r>
              <w:rPr>
                <w:rFonts w:hint="eastAsia"/>
                <w:sz w:val="28"/>
                <w:szCs w:val="28"/>
                <w:vertAlign w:val="baseline"/>
                <w:lang w:val="en-US" w:eastAsia="zh-CN"/>
              </w:rPr>
              <w:t>大礼堂或三楼报告厅电子侧屏内容：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674" w:type="dxa"/>
          </w:tcPr>
          <w:p>
            <w:pPr>
              <w:rPr>
                <w:rFonts w:hint="eastAsia"/>
                <w:sz w:val="28"/>
                <w:szCs w:val="28"/>
                <w:vertAlign w:val="baseline"/>
                <w:lang w:val="en-US" w:eastAsia="zh-CN"/>
              </w:rPr>
            </w:pPr>
            <w:r>
              <w:rPr>
                <w:rFonts w:hint="eastAsia"/>
                <w:sz w:val="28"/>
                <w:szCs w:val="28"/>
                <w:vertAlign w:val="baseline"/>
                <w:lang w:val="en-US" w:eastAsia="zh-CN"/>
              </w:rPr>
              <w:t>申报部门</w:t>
            </w:r>
          </w:p>
          <w:p>
            <w:pPr>
              <w:rPr>
                <w:rFonts w:hint="eastAsia"/>
                <w:sz w:val="28"/>
                <w:szCs w:val="28"/>
                <w:vertAlign w:val="baseline"/>
                <w:lang w:val="en-US" w:eastAsia="zh-CN"/>
              </w:rPr>
            </w:pPr>
            <w:r>
              <w:rPr>
                <w:rFonts w:hint="eastAsia"/>
                <w:sz w:val="28"/>
                <w:szCs w:val="28"/>
                <w:vertAlign w:val="baseline"/>
                <w:lang w:val="en-US" w:eastAsia="zh-CN"/>
              </w:rPr>
              <w:t>领导审批：</w:t>
            </w:r>
          </w:p>
        </w:tc>
        <w:tc>
          <w:tcPr>
            <w:tcW w:w="2786" w:type="dxa"/>
          </w:tcPr>
          <w:p>
            <w:pPr>
              <w:rPr>
                <w:rFonts w:hint="eastAsia"/>
                <w:sz w:val="28"/>
                <w:szCs w:val="28"/>
                <w:vertAlign w:val="baseline"/>
                <w:lang w:val="en-US" w:eastAsia="zh-CN"/>
              </w:rPr>
            </w:pPr>
          </w:p>
        </w:tc>
        <w:tc>
          <w:tcPr>
            <w:tcW w:w="2230" w:type="dxa"/>
          </w:tcPr>
          <w:p>
            <w:pPr>
              <w:rPr>
                <w:rFonts w:hint="eastAsia"/>
                <w:sz w:val="28"/>
                <w:szCs w:val="28"/>
                <w:vertAlign w:val="baseline"/>
                <w:lang w:val="en-US" w:eastAsia="zh-CN"/>
              </w:rPr>
            </w:pPr>
            <w:r>
              <w:rPr>
                <w:rFonts w:hint="eastAsia"/>
                <w:sz w:val="28"/>
                <w:szCs w:val="28"/>
                <w:vertAlign w:val="baseline"/>
                <w:lang w:val="en-US" w:eastAsia="zh-CN"/>
              </w:rPr>
              <w:t>中心分管</w:t>
            </w:r>
          </w:p>
          <w:p>
            <w:pPr>
              <w:rPr>
                <w:rFonts w:hint="eastAsia"/>
                <w:sz w:val="28"/>
                <w:szCs w:val="28"/>
                <w:vertAlign w:val="baseline"/>
                <w:lang w:val="en-US" w:eastAsia="zh-CN"/>
              </w:rPr>
            </w:pPr>
            <w:r>
              <w:rPr>
                <w:rFonts w:hint="eastAsia"/>
                <w:sz w:val="28"/>
                <w:szCs w:val="28"/>
                <w:vertAlign w:val="baseline"/>
                <w:lang w:val="en-US" w:eastAsia="zh-CN"/>
              </w:rPr>
              <w:t>领导审批：</w:t>
            </w:r>
          </w:p>
        </w:tc>
        <w:tc>
          <w:tcPr>
            <w:tcW w:w="2230" w:type="dxa"/>
          </w:tcPr>
          <w:p>
            <w:pPr>
              <w:rPr>
                <w:rFonts w:hint="eastAsia"/>
                <w:sz w:val="28"/>
                <w:szCs w:val="28"/>
                <w:vertAlign w:val="baseline"/>
                <w:lang w:val="en-US" w:eastAsia="zh-CN"/>
              </w:rPr>
            </w:pPr>
          </w:p>
        </w:tc>
      </w:tr>
    </w:tbl>
    <w:p>
      <w:pPr>
        <w:rPr>
          <w:rFonts w:hint="eastAsia"/>
          <w:sz w:val="28"/>
          <w:szCs w:val="28"/>
          <w:lang w:val="en-US" w:eastAsia="zh-CN"/>
        </w:rPr>
      </w:pPr>
      <w:r>
        <w:rPr>
          <w:rFonts w:hint="eastAsia"/>
          <w:sz w:val="28"/>
          <w:szCs w:val="28"/>
          <w:lang w:val="en-US" w:eastAsia="zh-CN"/>
        </w:rPr>
        <w:t>会议预定人：                             联系电话：</w:t>
      </w:r>
    </w:p>
    <w:p>
      <w:pPr>
        <w:rPr>
          <w:rFonts w:hint="eastAsia"/>
          <w:sz w:val="28"/>
          <w:szCs w:val="28"/>
          <w:lang w:val="en-US" w:eastAsia="zh-CN"/>
        </w:rPr>
      </w:pPr>
      <w:r>
        <w:rPr>
          <w:rFonts w:hint="eastAsia"/>
          <w:sz w:val="28"/>
          <w:szCs w:val="28"/>
          <w:lang w:val="en-US" w:eastAsia="zh-CN"/>
        </w:rPr>
        <w:t xml:space="preserve">                                           年     月     日</w:t>
      </w:r>
    </w:p>
    <w:p>
      <w:pPr>
        <w:rPr>
          <w:rFonts w:hint="eastAsia"/>
          <w:sz w:val="28"/>
          <w:szCs w:val="28"/>
          <w:lang w:val="en-US" w:eastAsia="zh-CN"/>
        </w:rPr>
      </w:pPr>
      <w:r>
        <w:rPr>
          <w:rFonts w:hint="eastAsia"/>
          <w:sz w:val="28"/>
          <w:szCs w:val="28"/>
          <w:lang w:val="en-US" w:eastAsia="zh-CN"/>
        </w:rPr>
        <w:t>注：如因市委、市政府紧急会议征用已预订会场，需服从组织安排。</w:t>
      </w: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pStyle w:val="77"/>
        <w:spacing w:after="156"/>
      </w:pPr>
      <w:r>
        <w:br w:type="textWrapping"/>
      </w:r>
      <w:r>
        <w:rPr>
          <w:rFonts w:hint="eastAsia"/>
        </w:rPr>
        <w:t>（资料性）</w:t>
      </w:r>
    </w:p>
    <w:tbl>
      <w:tblPr>
        <w:tblStyle w:val="27"/>
        <w:tblpPr w:leftFromText="180" w:rightFromText="180" w:vertAnchor="text" w:horzAnchor="page" w:tblpX="841" w:tblpY="771"/>
        <w:tblOverlap w:val="never"/>
        <w:tblW w:w="106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1732"/>
        <w:gridCol w:w="1616"/>
        <w:gridCol w:w="1896"/>
        <w:gridCol w:w="1896"/>
        <w:gridCol w:w="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652"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会前服务工作清单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预定单位</w:t>
            </w: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8"/>
                <w:szCs w:val="28"/>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会议时间</w:t>
            </w:r>
          </w:p>
        </w:tc>
        <w:tc>
          <w:tcPr>
            <w:tcW w:w="37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使用会议室</w:t>
            </w: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8"/>
                <w:szCs w:val="28"/>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责任人员</w:t>
            </w:r>
          </w:p>
        </w:tc>
        <w:tc>
          <w:tcPr>
            <w:tcW w:w="37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会议名称</w:t>
            </w:r>
          </w:p>
        </w:tc>
        <w:tc>
          <w:tcPr>
            <w:tcW w:w="90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会议类型</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工作会：</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座谈会：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报告会：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视频会：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6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会议服务项目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6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参会最高领导：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会场布置  岗位安排</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主席台：</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大门引领：</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会议室前门：</w:t>
            </w:r>
          </w:p>
        </w:tc>
        <w:tc>
          <w:tcPr>
            <w:tcW w:w="18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休息室：</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东电梯：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观众席：</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北侧门：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会议室后门：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户外休息区：</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西电梯：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9036" w:type="dxa"/>
            <w:gridSpan w:val="5"/>
            <w:tcBorders>
              <w:top w:val="single" w:color="000000" w:sz="4" w:space="0"/>
              <w:left w:val="single" w:color="000000" w:sz="4" w:space="0"/>
              <w:bottom w:val="nil"/>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会议物品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瓷杯：</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毛巾：</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矿泉水：</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保温壶：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席卡：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8"/>
                <w:szCs w:val="2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笔、A4纸：</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湿纸巾：</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抽纸：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烟灰缸：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洗手间用品：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8"/>
                <w:szCs w:val="28"/>
                <w:u w:val="none"/>
              </w:rPr>
            </w:pPr>
          </w:p>
        </w:tc>
        <w:tc>
          <w:tcPr>
            <w:tcW w:w="90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6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音响设备服务项目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音响设备 物品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话筒：</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报告席：</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电子屏：</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投影仪：</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课件：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手持话筒：</w:t>
            </w:r>
          </w:p>
        </w:tc>
        <w:tc>
          <w:tcPr>
            <w:tcW w:w="16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立麦：</w:t>
            </w:r>
          </w:p>
        </w:tc>
        <w:tc>
          <w:tcPr>
            <w:tcW w:w="189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外接设备：</w:t>
            </w:r>
          </w:p>
        </w:tc>
        <w:tc>
          <w:tcPr>
            <w:tcW w:w="1896" w:type="dxa"/>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color w:val="000000"/>
                <w:sz w:val="28"/>
                <w:szCs w:val="28"/>
                <w:u w:val="none"/>
              </w:rPr>
            </w:pPr>
          </w:p>
        </w:tc>
        <w:tc>
          <w:tcPr>
            <w:tcW w:w="1896" w:type="dxa"/>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设备检查</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功放：</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调音台：</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总电源：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话筒存放：</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线材收纳：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8"/>
                <w:szCs w:val="28"/>
                <w:u w:val="none"/>
              </w:rPr>
            </w:pPr>
          </w:p>
        </w:tc>
        <w:tc>
          <w:tcPr>
            <w:tcW w:w="90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6"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8"/>
                <w:szCs w:val="28"/>
                <w:u w:val="none"/>
              </w:rPr>
            </w:pPr>
          </w:p>
        </w:tc>
        <w:tc>
          <w:tcPr>
            <w:tcW w:w="1732"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8"/>
                <w:szCs w:val="28"/>
                <w:u w:val="none"/>
              </w:rPr>
            </w:pPr>
          </w:p>
        </w:tc>
        <w:tc>
          <w:tcPr>
            <w:tcW w:w="1616"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8"/>
                <w:szCs w:val="28"/>
                <w:u w:val="none"/>
              </w:rPr>
            </w:pPr>
          </w:p>
        </w:tc>
        <w:tc>
          <w:tcPr>
            <w:tcW w:w="1896"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8"/>
                <w:szCs w:val="28"/>
                <w:u w:val="none"/>
              </w:rPr>
            </w:pPr>
          </w:p>
        </w:tc>
        <w:tc>
          <w:tcPr>
            <w:tcW w:w="189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主管签字：</w:t>
            </w:r>
          </w:p>
        </w:tc>
        <w:tc>
          <w:tcPr>
            <w:tcW w:w="1896"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8"/>
                <w:szCs w:val="28"/>
                <w:u w:val="none"/>
              </w:rPr>
            </w:pPr>
          </w:p>
        </w:tc>
      </w:tr>
    </w:tbl>
    <w:p/>
    <w:p>
      <w:pPr>
        <w:rPr>
          <w:rFonts w:hint="default"/>
          <w:sz w:val="28"/>
          <w:szCs w:val="28"/>
          <w:lang w:val="en-US" w:eastAsia="zh-CN"/>
        </w:rPr>
      </w:pPr>
    </w:p>
    <w:p>
      <w:pPr>
        <w:pStyle w:val="57"/>
      </w:pPr>
    </w:p>
    <w:p>
      <w:pPr>
        <w:pStyle w:val="57"/>
      </w:pPr>
    </w:p>
    <w:p>
      <w:pPr>
        <w:pStyle w:val="57"/>
      </w:pPr>
    </w:p>
    <w:p>
      <w:pPr>
        <w:pStyle w:val="57"/>
      </w:pPr>
    </w:p>
    <w:p>
      <w:pPr>
        <w:pStyle w:val="57"/>
      </w:pPr>
    </w:p>
    <w:p>
      <w:pPr>
        <w:pStyle w:val="57"/>
      </w:pPr>
    </w:p>
    <w:p>
      <w:pPr>
        <w:pStyle w:val="57"/>
      </w:pPr>
    </w:p>
    <w:p>
      <w:pPr>
        <w:pStyle w:val="77"/>
        <w:spacing w:after="156"/>
      </w:pPr>
      <w:r>
        <w:br w:type="textWrapping"/>
      </w:r>
      <w:bookmarkEnd w:id="69"/>
      <w:r>
        <w:rPr>
          <w:rFonts w:hint="eastAsia"/>
          <w:lang w:eastAsia="zh-CN"/>
        </w:rPr>
        <w:t>会场布置要求</w:t>
      </w:r>
    </w:p>
    <w:p>
      <w:pPr>
        <w:pStyle w:val="57"/>
        <w:ind w:firstLine="422"/>
        <w:rPr>
          <w:b/>
        </w:rPr>
      </w:pPr>
      <w:r>
        <w:rPr>
          <w:b/>
        </w:rPr>
        <w:t xml:space="preserve">1 </w:t>
      </w:r>
      <w:r>
        <w:rPr>
          <w:rFonts w:hint="eastAsia"/>
          <w:b/>
        </w:rPr>
        <w:t>桌椅摆放</w:t>
      </w:r>
    </w:p>
    <w:p>
      <w:pPr>
        <w:pStyle w:val="57"/>
        <w:ind w:firstLine="199" w:firstLineChars="95"/>
      </w:pPr>
      <w:r>
        <w:rPr>
          <w:rFonts w:hint="eastAsia"/>
        </w:rPr>
        <w:t>应根据会方要求和实际参会人数布置桌椅。</w:t>
      </w:r>
    </w:p>
    <w:p>
      <w:pPr>
        <w:pStyle w:val="57"/>
        <w:ind w:firstLine="422"/>
        <w:rPr>
          <w:b/>
        </w:rPr>
      </w:pPr>
      <w:r>
        <w:rPr>
          <w:b/>
        </w:rPr>
        <w:t xml:space="preserve">2 </w:t>
      </w:r>
      <w:r>
        <w:rPr>
          <w:rFonts w:hint="eastAsia"/>
          <w:b/>
        </w:rPr>
        <w:t>桌椅布置</w:t>
      </w:r>
    </w:p>
    <w:p>
      <w:pPr>
        <w:pStyle w:val="57"/>
        <w:ind w:firstLine="420"/>
      </w:pPr>
      <w:r>
        <w:rPr>
          <w:rFonts w:hint="eastAsia"/>
        </w:rPr>
        <w:t xml:space="preserve"> 桌椅类型布置应包括以下内容：</w:t>
      </w:r>
    </w:p>
    <w:p>
      <w:pPr>
        <w:pStyle w:val="57"/>
        <w:ind w:firstLine="420"/>
      </w:pPr>
      <w:r>
        <w:rPr>
          <w:rFonts w:hint="eastAsia"/>
        </w:rPr>
        <w:t>——课桌式（教学式），将会议室的桌椅按排纵横端正摆放，布置形式与课堂教学相似的摆台形式；</w:t>
      </w:r>
    </w:p>
    <w:p>
      <w:pPr>
        <w:pStyle w:val="57"/>
        <w:ind w:firstLine="420"/>
      </w:pPr>
      <w:r>
        <w:rPr>
          <w:rFonts w:hint="eastAsia"/>
        </w:rPr>
        <w:t>——中空式（回字形），将会议桌连接在一起，形成中空的正方形、长方形或多边形，椅子摆放在会议桌外围的摆台形式；</w:t>
      </w:r>
    </w:p>
    <w:p>
      <w:pPr>
        <w:pStyle w:val="57"/>
        <w:ind w:firstLine="420"/>
      </w:pPr>
      <w:r>
        <w:rPr>
          <w:rFonts w:hint="eastAsia"/>
        </w:rPr>
        <w:t>——董事会式，会议桌摆放在会议室中间，椅子摆在会议桌外侧的一种摆台形式；</w:t>
      </w:r>
    </w:p>
    <w:p>
      <w:pPr>
        <w:pStyle w:val="57"/>
        <w:ind w:firstLine="420"/>
      </w:pPr>
      <w:r>
        <w:rPr>
          <w:rFonts w:hint="eastAsia"/>
        </w:rPr>
        <w:t>——阶梯型，为减少坐席间的视线遮挡而设立的存在一定落差的摆台形式。</w:t>
      </w:r>
    </w:p>
    <w:p>
      <w:pPr>
        <w:pStyle w:val="57"/>
        <w:ind w:firstLine="422"/>
        <w:rPr>
          <w:b/>
        </w:rPr>
      </w:pPr>
      <w:r>
        <w:rPr>
          <w:b/>
        </w:rPr>
        <w:t xml:space="preserve">3 </w:t>
      </w:r>
      <w:r>
        <w:rPr>
          <w:rFonts w:hint="eastAsia"/>
          <w:b/>
        </w:rPr>
        <w:t>课桌式会议摆放</w:t>
      </w:r>
    </w:p>
    <w:p>
      <w:pPr>
        <w:pStyle w:val="57"/>
        <w:ind w:firstLine="420"/>
      </w:pPr>
      <w:r>
        <w:rPr>
          <w:rFonts w:hint="eastAsia"/>
        </w:rPr>
        <w:t>课桌式会议摆放要求应包括以下内容：</w:t>
      </w:r>
    </w:p>
    <w:p>
      <w:pPr>
        <w:pStyle w:val="57"/>
        <w:ind w:firstLine="420"/>
      </w:pPr>
      <w:r>
        <w:rPr>
          <w:rFonts w:hint="eastAsia"/>
        </w:rPr>
        <w:t>——主席台布置（单、双居中）座位以左边为大原则；</w:t>
      </w:r>
    </w:p>
    <w:p>
      <w:pPr>
        <w:pStyle w:val="57"/>
        <w:ind w:firstLine="420"/>
      </w:pPr>
      <w:r>
        <w:rPr>
          <w:rFonts w:hint="eastAsia"/>
        </w:rPr>
        <w:t>——椅子摆放置1/2(双人桌1/4)处，带扶手椅距桌子25cm±5cm，不带扶手椅距桌子15cm±5cm；</w:t>
      </w:r>
    </w:p>
    <w:p>
      <w:pPr>
        <w:pStyle w:val="57"/>
        <w:ind w:firstLine="420"/>
      </w:pPr>
      <w:r>
        <w:rPr>
          <w:rFonts w:hint="eastAsia"/>
        </w:rPr>
        <w:t>——主席台下多排座次中间走道间距95cm±5cm，每排桌与桌间距95cm±5cm。</w:t>
      </w:r>
    </w:p>
    <w:p>
      <w:pPr>
        <w:pStyle w:val="57"/>
        <w:ind w:firstLine="422"/>
        <w:rPr>
          <w:b/>
        </w:rPr>
      </w:pPr>
      <w:r>
        <w:rPr>
          <w:b/>
        </w:rPr>
        <w:t xml:space="preserve">4 </w:t>
      </w:r>
      <w:r>
        <w:rPr>
          <w:rFonts w:hint="eastAsia"/>
          <w:b/>
        </w:rPr>
        <w:t>会议用品</w:t>
      </w:r>
    </w:p>
    <w:p>
      <w:pPr>
        <w:pStyle w:val="57"/>
        <w:ind w:firstLine="422"/>
        <w:rPr>
          <w:b/>
        </w:rPr>
      </w:pPr>
      <w:r>
        <w:rPr>
          <w:b/>
        </w:rPr>
        <w:t xml:space="preserve">4.1 </w:t>
      </w:r>
      <w:r>
        <w:rPr>
          <w:rFonts w:hint="eastAsia"/>
          <w:b/>
        </w:rPr>
        <w:t>茶水用品摆放</w:t>
      </w:r>
    </w:p>
    <w:p>
      <w:pPr>
        <w:pStyle w:val="57"/>
        <w:ind w:firstLine="420"/>
      </w:pPr>
      <w:r>
        <w:rPr>
          <w:rFonts w:hint="eastAsia"/>
        </w:rPr>
        <w:t>茶水用品摆放要求应包括以下内容：</w:t>
      </w:r>
    </w:p>
    <w:p>
      <w:pPr>
        <w:pStyle w:val="57"/>
        <w:ind w:firstLine="420"/>
      </w:pPr>
      <w:r>
        <w:rPr>
          <w:rFonts w:hint="eastAsia"/>
        </w:rPr>
        <w:t>——席卡、杯碟、毛巾碟从左至右紧靠摆放距桌外沿3㎝处，横呈一条直线。席卡居中放置桌面1/2（双人桌1/4）处，杯碟、毛巾碟依次向右摆放宽度2.0㎝±0.5㎝。若放置话筒，则席卡摆放于话筒左侧，杯碟、毛巾碟摆放于话筒右侧；双话筒时，席卡摆放话筒中间，杯碟、毛巾碟摆放于话筒右侧；</w:t>
      </w:r>
    </w:p>
    <w:p>
      <w:pPr>
        <w:pStyle w:val="57"/>
        <w:ind w:firstLine="420"/>
      </w:pPr>
      <w:r>
        <w:rPr>
          <w:rFonts w:hint="eastAsia"/>
        </w:rPr>
        <w:t>——茶杯摆成一条直线，杯把统一向右，下放杯碟。杯把与垂直方向呈40°角；添加茶叶用统一量勺，开水倒7分满；</w:t>
      </w:r>
    </w:p>
    <w:p>
      <w:pPr>
        <w:pStyle w:val="57"/>
        <w:ind w:firstLine="420"/>
      </w:pPr>
      <w:r>
        <w:rPr>
          <w:rFonts w:hint="eastAsia"/>
        </w:rPr>
        <w:t>——湿纸巾放置于抽屉右手边紧靠外沿。矿泉水放置于湿纸巾上方；</w:t>
      </w:r>
    </w:p>
    <w:p>
      <w:pPr>
        <w:pStyle w:val="57"/>
        <w:ind w:firstLine="420"/>
      </w:pPr>
      <w:r>
        <w:rPr>
          <w:rFonts w:hint="eastAsia"/>
        </w:rPr>
        <w:t>——茶水处应摆放适量纸杯、杯茶、茶叶和抽纸；</w:t>
      </w:r>
    </w:p>
    <w:p>
      <w:pPr>
        <w:pStyle w:val="57"/>
        <w:ind w:firstLine="420"/>
      </w:pPr>
      <w:r>
        <w:rPr>
          <w:rFonts w:hint="eastAsia"/>
        </w:rPr>
        <w:t>——保密会议应根据会方要求准备茶水。若要求放置保温壶，主席台就坐人员每人1个，其他参会人员每2人共用1个，放置于毛巾碟与席卡中间。</w:t>
      </w:r>
    </w:p>
    <w:p>
      <w:pPr>
        <w:pStyle w:val="57"/>
        <w:ind w:firstLine="422"/>
        <w:rPr>
          <w:b/>
        </w:rPr>
      </w:pPr>
      <w:r>
        <w:rPr>
          <w:rFonts w:hint="eastAsia"/>
          <w:b/>
        </w:rPr>
        <w:t>4.2</w:t>
      </w:r>
      <w:r>
        <w:rPr>
          <w:b/>
        </w:rPr>
        <w:t xml:space="preserve"> </w:t>
      </w:r>
      <w:r>
        <w:rPr>
          <w:rFonts w:hint="eastAsia"/>
          <w:b/>
        </w:rPr>
        <w:t>纸笔用品摆放</w:t>
      </w:r>
    </w:p>
    <w:p>
      <w:pPr>
        <w:pStyle w:val="57"/>
        <w:ind w:firstLine="420"/>
      </w:pPr>
      <w:r>
        <w:rPr>
          <w:rFonts w:hint="eastAsia"/>
        </w:rPr>
        <w:t>纸笔用品摆放要求应包括以下内容：</w:t>
      </w:r>
    </w:p>
    <w:p>
      <w:pPr>
        <w:pStyle w:val="57"/>
        <w:ind w:firstLine="420"/>
      </w:pPr>
      <w:r>
        <w:rPr>
          <w:rFonts w:hint="eastAsia"/>
        </w:rPr>
        <w:t>——纸笔用品摆放主要针对主席台；</w:t>
      </w:r>
    </w:p>
    <w:p>
      <w:pPr>
        <w:pStyle w:val="57"/>
        <w:ind w:firstLine="420"/>
      </w:pPr>
      <w:r>
        <w:rPr>
          <w:rFonts w:hint="eastAsia"/>
        </w:rPr>
        <w:t>——茶杯摆成一条直线，杯把统一向右，下放杯碟。杯把与垂直方向呈40°角；添加茶叶用统一量勺，开水倒7分满；</w:t>
      </w:r>
    </w:p>
    <w:p>
      <w:pPr>
        <w:pStyle w:val="57"/>
        <w:ind w:firstLine="420"/>
      </w:pPr>
      <w:r>
        <w:rPr>
          <w:rFonts w:hint="eastAsia"/>
        </w:rPr>
        <w:t>——红、蓝、铅笔置于笔盒放在杯垫指定位置，会议资料整齐摆放在桌子居中位置，6张A4便签白纸、抽纸、湿纸巾统一整齐摆放在桌子抽屉从右往左依次摆放，紧贴桌子下边沿。</w:t>
      </w:r>
    </w:p>
    <w:p>
      <w:pPr>
        <w:pStyle w:val="57"/>
        <w:ind w:firstLine="422"/>
        <w:rPr>
          <w:b/>
        </w:rPr>
      </w:pPr>
      <w:r>
        <w:rPr>
          <w:rFonts w:hint="eastAsia"/>
          <w:b/>
        </w:rPr>
        <w:t>4.</w:t>
      </w:r>
      <w:r>
        <w:rPr>
          <w:b/>
        </w:rPr>
        <w:t xml:space="preserve">3 </w:t>
      </w:r>
      <w:r>
        <w:rPr>
          <w:rFonts w:hint="eastAsia"/>
          <w:b/>
        </w:rPr>
        <w:t>卫生用品摆放</w:t>
      </w:r>
    </w:p>
    <w:p>
      <w:pPr>
        <w:pStyle w:val="57"/>
        <w:ind w:firstLine="420"/>
      </w:pPr>
      <w:r>
        <w:rPr>
          <w:rFonts w:hint="eastAsia"/>
        </w:rPr>
        <w:t>卫生用品摆放要求应包括以下内容：</w:t>
      </w:r>
    </w:p>
    <w:p>
      <w:pPr>
        <w:pStyle w:val="57"/>
        <w:ind w:firstLine="420"/>
      </w:pPr>
      <w:r>
        <w:rPr>
          <w:rFonts w:hint="eastAsia"/>
        </w:rPr>
        <w:t>——会议应在洗手间洗手台中间放置梳子、护手霜、等卫生用品；</w:t>
      </w:r>
    </w:p>
    <w:p>
      <w:pPr>
        <w:pStyle w:val="57"/>
        <w:ind w:firstLine="420"/>
      </w:pPr>
      <w:r>
        <w:rPr>
          <w:rFonts w:hint="eastAsia"/>
        </w:rPr>
        <w:t>——政府十楼会议室露台摆放太阳伞、伞架，休息室门口摆放擦鞋机。</w:t>
      </w:r>
    </w:p>
    <w:p>
      <w:pPr>
        <w:pStyle w:val="57"/>
        <w:ind w:firstLine="422"/>
        <w:rPr>
          <w:b/>
        </w:rPr>
      </w:pPr>
      <w:r>
        <w:rPr>
          <w:rFonts w:hint="eastAsia"/>
          <w:b/>
        </w:rPr>
        <w:t>4.</w:t>
      </w:r>
      <w:r>
        <w:rPr>
          <w:b/>
        </w:rPr>
        <w:t xml:space="preserve">4 </w:t>
      </w:r>
      <w:r>
        <w:rPr>
          <w:rFonts w:hint="eastAsia"/>
          <w:b/>
        </w:rPr>
        <w:t>主席台话筒</w:t>
      </w:r>
    </w:p>
    <w:p>
      <w:pPr>
        <w:pStyle w:val="57"/>
        <w:ind w:firstLine="420"/>
      </w:pPr>
      <w:r>
        <w:rPr>
          <w:rFonts w:hint="eastAsia"/>
        </w:rPr>
        <w:t>主席台话筒摆放要求应包括以下内容：</w:t>
      </w:r>
    </w:p>
    <w:p>
      <w:pPr>
        <w:pStyle w:val="57"/>
        <w:ind w:firstLine="420"/>
      </w:pPr>
      <w:r>
        <w:rPr>
          <w:rFonts w:hint="eastAsia"/>
        </w:rPr>
        <w:t>——话筒摆放高度、弧度、边距呈一条直线；</w:t>
      </w:r>
    </w:p>
    <w:p>
      <w:pPr>
        <w:pStyle w:val="57"/>
        <w:ind w:firstLine="420"/>
      </w:pPr>
      <w:r>
        <w:rPr>
          <w:rFonts w:hint="eastAsia"/>
        </w:rPr>
        <w:t>——鹅颈话筒之间底座相距不超过3㎝，底座距桌子前沿10㎝±3㎝，话筒咪头平行距桌面25㎝±5㎝；</w:t>
      </w:r>
    </w:p>
    <w:p>
      <w:pPr>
        <w:pStyle w:val="57"/>
        <w:ind w:firstLine="420"/>
      </w:pPr>
      <w:r>
        <w:rPr>
          <w:rFonts w:hint="eastAsia"/>
        </w:rPr>
        <w:t>——嵌入式话筒朝向座位右边，咪杆与桌面角度40°±5°；</w:t>
      </w:r>
    </w:p>
    <w:p>
      <w:pPr>
        <w:pStyle w:val="57"/>
        <w:ind w:firstLine="420"/>
      </w:pPr>
      <w:r>
        <w:rPr>
          <w:rFonts w:hint="eastAsia"/>
        </w:rPr>
        <w:t>——立式话筒之间咪头相距不超过20㎝±5㎝，咪杆与地面角度55°±15°；</w:t>
      </w:r>
    </w:p>
    <w:p>
      <w:pPr>
        <w:pStyle w:val="57"/>
        <w:ind w:firstLine="420"/>
      </w:pPr>
      <w:r>
        <w:rPr>
          <w:rFonts w:hint="eastAsia"/>
        </w:rPr>
        <w:t>——话筒分为两路信号，采取一主一备工作模式，具体可根据会场需求作调整；</w:t>
      </w:r>
    </w:p>
    <w:p>
      <w:pPr>
        <w:pStyle w:val="57"/>
        <w:ind w:firstLine="420"/>
      </w:pPr>
      <w:r>
        <w:rPr>
          <w:rFonts w:hint="eastAsia"/>
        </w:rPr>
        <w:t>——话筒线的布线宜隐藏，不能隐藏时走线横平竖直直线布置，用与周围地板、桌椅颜色接近的，且不反光、不留胶的胶带进行粘贴，必要时可使用压线板。</w:t>
      </w:r>
    </w:p>
    <w:p>
      <w:pPr>
        <w:pStyle w:val="57"/>
        <w:ind w:firstLine="422"/>
        <w:rPr>
          <w:b/>
        </w:rPr>
      </w:pPr>
      <w:r>
        <w:rPr>
          <w:rFonts w:hint="eastAsia"/>
          <w:b/>
        </w:rPr>
        <w:t>4.</w:t>
      </w:r>
      <w:r>
        <w:rPr>
          <w:b/>
        </w:rPr>
        <w:t xml:space="preserve">5 </w:t>
      </w:r>
      <w:r>
        <w:rPr>
          <w:rFonts w:hint="eastAsia"/>
          <w:b/>
        </w:rPr>
        <w:t>指示牌</w:t>
      </w:r>
    </w:p>
    <w:p>
      <w:pPr>
        <w:pStyle w:val="57"/>
        <w:ind w:firstLine="420"/>
      </w:pPr>
      <w:r>
        <w:rPr>
          <w:rFonts w:hint="eastAsia"/>
        </w:rPr>
        <w:t>根据会议要求制作各厅室方位指示牌，可放置在前厅、会议厅室通道外，也可利用电子显示屏播放指示内容。指示牌应面向参会人员放置。</w:t>
      </w:r>
    </w:p>
    <w:p>
      <w:pPr>
        <w:pStyle w:val="57"/>
        <w:rPr>
          <w:rFonts w:hint="eastAsia"/>
        </w:rPr>
      </w:pPr>
    </w:p>
    <w:p>
      <w:pPr>
        <w:pStyle w:val="57"/>
        <w:rPr>
          <w:rFonts w:hint="eastAsia"/>
        </w:rPr>
      </w:pPr>
    </w:p>
    <w:p>
      <w:pPr>
        <w:pStyle w:val="57"/>
        <w:rPr>
          <w:rFonts w:hint="eastAsia"/>
        </w:rPr>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bookmarkEnd w:id="24"/>
    <w:p>
      <w:pPr>
        <w:pStyle w:val="77"/>
        <w:spacing w:after="156"/>
      </w:pPr>
      <w:bookmarkStart w:id="70" w:name="BookMark8"/>
      <w:r>
        <w:br w:type="textWrapping"/>
      </w:r>
      <w:bookmarkStart w:id="71" w:name="_Toc145067126"/>
      <w:r>
        <w:rPr>
          <w:rFonts w:hint="eastAsia"/>
        </w:rPr>
        <w:t>（资料性）</w:t>
      </w:r>
      <w:r>
        <w:br w:type="textWrapping"/>
      </w:r>
      <w:bookmarkEnd w:id="71"/>
      <w:r>
        <w:rPr>
          <w:rFonts w:hint="eastAsia"/>
          <w:lang w:eastAsia="zh-CN"/>
        </w:rPr>
        <w:t>会议遗漏物品登记表</w:t>
      </w:r>
    </w:p>
    <w:p>
      <w:pPr>
        <w:pStyle w:val="57"/>
      </w:pPr>
    </w:p>
    <w:tbl>
      <w:tblPr>
        <w:tblStyle w:val="28"/>
        <w:tblpPr w:leftFromText="180" w:rightFromText="180" w:vertAnchor="page" w:horzAnchor="page" w:tblpX="1486" w:tblpY="330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647"/>
        <w:gridCol w:w="1109"/>
        <w:gridCol w:w="1075"/>
        <w:gridCol w:w="942"/>
        <w:gridCol w:w="1086"/>
        <w:gridCol w:w="1061"/>
        <w:gridCol w:w="1253"/>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序号</w:t>
            </w:r>
          </w:p>
        </w:tc>
        <w:tc>
          <w:tcPr>
            <w:tcW w:w="860"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遗漏物品及数量</w:t>
            </w:r>
          </w:p>
        </w:tc>
        <w:tc>
          <w:tcPr>
            <w:tcW w:w="579"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遗漏地点</w:t>
            </w:r>
          </w:p>
        </w:tc>
        <w:tc>
          <w:tcPr>
            <w:tcW w:w="561"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遗漏时间</w:t>
            </w:r>
          </w:p>
        </w:tc>
        <w:tc>
          <w:tcPr>
            <w:tcW w:w="492"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拾遗人</w:t>
            </w:r>
          </w:p>
        </w:tc>
        <w:tc>
          <w:tcPr>
            <w:tcW w:w="567"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保管地点</w:t>
            </w:r>
          </w:p>
        </w:tc>
        <w:tc>
          <w:tcPr>
            <w:tcW w:w="554"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认领时间</w:t>
            </w:r>
          </w:p>
        </w:tc>
        <w:tc>
          <w:tcPr>
            <w:tcW w:w="654"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认领人签字</w:t>
            </w:r>
          </w:p>
        </w:tc>
        <w:tc>
          <w:tcPr>
            <w:tcW w:w="377"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1</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2</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3</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4</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5</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6</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eastAsia" w:ascii="黑体"/>
                <w:sz w:val="20"/>
                <w:szCs w:val="22"/>
                <w:lang w:val="en-US" w:eastAsia="zh-CN"/>
              </w:rPr>
            </w:pPr>
            <w:r>
              <w:rPr>
                <w:rFonts w:hint="eastAsia" w:ascii="黑体"/>
                <w:sz w:val="20"/>
                <w:szCs w:val="22"/>
                <w:lang w:val="en-US" w:eastAsia="zh-CN"/>
              </w:rPr>
              <w:t>7</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default" w:ascii="黑体"/>
                <w:sz w:val="20"/>
                <w:szCs w:val="22"/>
                <w:lang w:val="en-US" w:eastAsia="zh-CN"/>
              </w:rPr>
            </w:pPr>
            <w:r>
              <w:rPr>
                <w:rFonts w:hint="eastAsia" w:ascii="黑体"/>
                <w:sz w:val="20"/>
                <w:szCs w:val="22"/>
                <w:lang w:val="en-US" w:eastAsia="zh-CN"/>
              </w:rPr>
              <w:t>8</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default" w:ascii="黑体"/>
                <w:sz w:val="20"/>
                <w:szCs w:val="22"/>
                <w:lang w:val="en-US" w:eastAsia="zh-CN"/>
              </w:rPr>
            </w:pPr>
            <w:r>
              <w:rPr>
                <w:rFonts w:hint="eastAsia" w:ascii="黑体"/>
                <w:sz w:val="20"/>
                <w:szCs w:val="22"/>
                <w:lang w:val="en-US" w:eastAsia="zh-CN"/>
              </w:rPr>
              <w:t>9</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default" w:ascii="黑体"/>
                <w:sz w:val="20"/>
                <w:szCs w:val="22"/>
                <w:lang w:val="en-US" w:eastAsia="zh-CN"/>
              </w:rPr>
            </w:pPr>
            <w:r>
              <w:rPr>
                <w:rFonts w:hint="eastAsia" w:ascii="黑体"/>
                <w:sz w:val="20"/>
                <w:szCs w:val="22"/>
                <w:lang w:val="en-US" w:eastAsia="zh-CN"/>
              </w:rPr>
              <w:t>10</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default" w:ascii="黑体"/>
                <w:sz w:val="20"/>
                <w:szCs w:val="22"/>
                <w:lang w:val="en-US" w:eastAsia="zh-CN"/>
              </w:rPr>
            </w:pPr>
            <w:r>
              <w:rPr>
                <w:rFonts w:hint="eastAsia" w:ascii="黑体"/>
                <w:sz w:val="20"/>
                <w:szCs w:val="22"/>
                <w:lang w:val="en-US" w:eastAsia="zh-CN"/>
              </w:rPr>
              <w:t>11</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default" w:ascii="黑体"/>
                <w:sz w:val="20"/>
                <w:szCs w:val="22"/>
                <w:lang w:val="en-US" w:eastAsia="zh-CN"/>
              </w:rPr>
            </w:pPr>
            <w:r>
              <w:rPr>
                <w:rFonts w:hint="eastAsia" w:ascii="黑体"/>
                <w:sz w:val="20"/>
                <w:szCs w:val="22"/>
                <w:lang w:val="en-US" w:eastAsia="zh-CN"/>
              </w:rPr>
              <w:t>12</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default" w:ascii="黑体"/>
                <w:sz w:val="20"/>
                <w:szCs w:val="22"/>
                <w:lang w:val="en-US" w:eastAsia="zh-CN"/>
              </w:rPr>
            </w:pPr>
            <w:r>
              <w:rPr>
                <w:rFonts w:hint="eastAsia" w:ascii="黑体"/>
                <w:sz w:val="20"/>
                <w:szCs w:val="22"/>
                <w:lang w:val="en-US" w:eastAsia="zh-CN"/>
              </w:rPr>
              <w:t>13</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default" w:ascii="黑体"/>
                <w:sz w:val="20"/>
                <w:szCs w:val="22"/>
                <w:lang w:val="en-US" w:eastAsia="zh-CN"/>
              </w:rPr>
            </w:pPr>
            <w:r>
              <w:rPr>
                <w:rFonts w:hint="eastAsia" w:ascii="黑体"/>
                <w:sz w:val="20"/>
                <w:szCs w:val="22"/>
                <w:lang w:val="en-US" w:eastAsia="zh-CN"/>
              </w:rPr>
              <w:t>14</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pct"/>
          </w:tcPr>
          <w:p>
            <w:pPr>
              <w:pStyle w:val="232"/>
              <w:spacing w:before="17"/>
              <w:ind w:firstLine="0"/>
              <w:jc w:val="center"/>
              <w:rPr>
                <w:rFonts w:hint="default" w:ascii="黑体"/>
                <w:sz w:val="20"/>
                <w:szCs w:val="22"/>
                <w:lang w:val="en-US" w:eastAsia="zh-CN"/>
              </w:rPr>
            </w:pPr>
            <w:r>
              <w:rPr>
                <w:rFonts w:hint="eastAsia" w:ascii="黑体"/>
                <w:sz w:val="20"/>
                <w:szCs w:val="22"/>
                <w:lang w:val="en-US" w:eastAsia="zh-CN"/>
              </w:rPr>
              <w:t>15</w:t>
            </w:r>
          </w:p>
        </w:tc>
        <w:tc>
          <w:tcPr>
            <w:tcW w:w="860" w:type="pct"/>
          </w:tcPr>
          <w:p>
            <w:pPr>
              <w:pStyle w:val="232"/>
              <w:spacing w:before="17"/>
              <w:ind w:firstLine="0"/>
              <w:rPr>
                <w:rFonts w:ascii="黑体"/>
                <w:sz w:val="20"/>
                <w:szCs w:val="22"/>
              </w:rPr>
            </w:pPr>
          </w:p>
        </w:tc>
        <w:tc>
          <w:tcPr>
            <w:tcW w:w="579" w:type="pct"/>
          </w:tcPr>
          <w:p>
            <w:pPr>
              <w:pStyle w:val="232"/>
              <w:spacing w:before="17"/>
              <w:ind w:firstLine="0"/>
              <w:rPr>
                <w:rFonts w:ascii="黑体"/>
                <w:sz w:val="20"/>
                <w:szCs w:val="22"/>
              </w:rPr>
            </w:pPr>
          </w:p>
        </w:tc>
        <w:tc>
          <w:tcPr>
            <w:tcW w:w="561" w:type="pct"/>
          </w:tcPr>
          <w:p>
            <w:pPr>
              <w:pStyle w:val="232"/>
              <w:spacing w:before="17"/>
              <w:ind w:firstLine="0"/>
              <w:rPr>
                <w:rFonts w:ascii="黑体"/>
                <w:sz w:val="20"/>
                <w:szCs w:val="22"/>
              </w:rPr>
            </w:pPr>
          </w:p>
        </w:tc>
        <w:tc>
          <w:tcPr>
            <w:tcW w:w="492" w:type="pct"/>
          </w:tcPr>
          <w:p>
            <w:pPr>
              <w:pStyle w:val="232"/>
              <w:spacing w:before="17"/>
              <w:ind w:firstLine="0"/>
              <w:rPr>
                <w:rFonts w:ascii="黑体"/>
                <w:sz w:val="20"/>
                <w:szCs w:val="22"/>
              </w:rPr>
            </w:pPr>
          </w:p>
        </w:tc>
        <w:tc>
          <w:tcPr>
            <w:tcW w:w="567" w:type="pct"/>
          </w:tcPr>
          <w:p>
            <w:pPr>
              <w:pStyle w:val="232"/>
              <w:spacing w:before="17"/>
              <w:ind w:firstLine="0"/>
              <w:rPr>
                <w:rFonts w:ascii="黑体"/>
                <w:sz w:val="20"/>
                <w:szCs w:val="22"/>
              </w:rPr>
            </w:pPr>
          </w:p>
        </w:tc>
        <w:tc>
          <w:tcPr>
            <w:tcW w:w="554" w:type="pct"/>
          </w:tcPr>
          <w:p>
            <w:pPr>
              <w:pStyle w:val="232"/>
              <w:spacing w:before="17"/>
              <w:ind w:firstLine="0"/>
              <w:rPr>
                <w:rFonts w:ascii="黑体"/>
                <w:sz w:val="20"/>
                <w:szCs w:val="22"/>
              </w:rPr>
            </w:pPr>
          </w:p>
        </w:tc>
        <w:tc>
          <w:tcPr>
            <w:tcW w:w="654" w:type="pct"/>
          </w:tcPr>
          <w:p>
            <w:pPr>
              <w:pStyle w:val="232"/>
              <w:spacing w:before="17"/>
              <w:ind w:firstLine="0"/>
              <w:rPr>
                <w:rFonts w:ascii="黑体"/>
                <w:sz w:val="20"/>
                <w:szCs w:val="22"/>
              </w:rPr>
            </w:pPr>
          </w:p>
        </w:tc>
        <w:tc>
          <w:tcPr>
            <w:tcW w:w="377" w:type="pct"/>
          </w:tcPr>
          <w:p>
            <w:pPr>
              <w:pStyle w:val="232"/>
              <w:spacing w:before="17"/>
              <w:ind w:firstLine="0"/>
              <w:rPr>
                <w:rFonts w:ascii="黑体"/>
                <w:sz w:val="20"/>
                <w:szCs w:val="22"/>
              </w:rPr>
            </w:pPr>
          </w:p>
        </w:tc>
      </w:tr>
    </w:tbl>
    <w:p>
      <w:pPr>
        <w:autoSpaceDE w:val="0"/>
        <w:snapToGrid w:val="0"/>
        <w:spacing w:line="240" w:lineRule="auto"/>
        <w:jc w:val="center"/>
        <w:rPr>
          <w:rFonts w:hint="eastAsia"/>
        </w:rPr>
      </w:pPr>
    </w:p>
    <w:p>
      <w:pPr>
        <w:autoSpaceDE w:val="0"/>
        <w:snapToGrid w:val="0"/>
        <w:spacing w:line="240" w:lineRule="auto"/>
        <w:jc w:val="center"/>
        <w:rPr>
          <w:rFonts w:hint="eastAsia"/>
        </w:rPr>
      </w:pPr>
    </w:p>
    <w:p>
      <w:pPr>
        <w:autoSpaceDE w:val="0"/>
        <w:snapToGrid w:val="0"/>
        <w:spacing w:before="850" w:line="240" w:lineRule="auto"/>
        <w:jc w:val="both"/>
        <w:rPr>
          <w:rFonts w:hint="eastAsia" w:ascii="黑体" w:hAnsi="黑体" w:eastAsia="黑体"/>
          <w:kern w:val="44"/>
        </w:rPr>
      </w:pPr>
    </w:p>
    <w:p>
      <w:pPr>
        <w:pStyle w:val="77"/>
        <w:numPr>
          <w:ilvl w:val="0"/>
          <w:numId w:val="0"/>
        </w:numPr>
        <w:shd w:val="clear" w:color="FFFFFF" w:fill="FFFFFF"/>
        <w:spacing w:after="156"/>
        <w:ind w:leftChars="0"/>
        <w:jc w:val="both"/>
        <w:rPr>
          <w:rFonts w:hint="eastAsia"/>
          <w:lang w:val="en-US" w:eastAsia="zh-CN"/>
        </w:rPr>
      </w:pPr>
    </w:p>
    <w:p>
      <w:pPr>
        <w:pStyle w:val="77"/>
        <w:shd w:val="clear" w:color="FFFFFF" w:fill="FFFFFF"/>
        <w:spacing w:after="156"/>
        <w:rPr>
          <w:rFonts w:hint="eastAsia"/>
          <w:lang w:val="en-US" w:eastAsia="zh-CN"/>
        </w:rPr>
      </w:pPr>
    </w:p>
    <w:bookmarkEnd w:id="70"/>
    <w:p>
      <w:pPr>
        <w:jc w:val="center"/>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（资料性）</w:t>
      </w:r>
    </w:p>
    <w:p>
      <w:pPr>
        <w:jc w:val="center"/>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会议用品管理要求</w:t>
      </w:r>
    </w:p>
    <w:p>
      <w:pPr>
        <w:pStyle w:val="57"/>
        <w:ind w:firstLine="422"/>
        <w:rPr>
          <w:b/>
        </w:rPr>
      </w:pPr>
      <w:r>
        <w:rPr>
          <w:b/>
        </w:rPr>
        <w:t xml:space="preserve">1 </w:t>
      </w:r>
      <w:r>
        <w:rPr>
          <w:rFonts w:hint="eastAsia"/>
          <w:b/>
        </w:rPr>
        <w:t>食（饮）具</w:t>
      </w:r>
    </w:p>
    <w:p>
      <w:pPr>
        <w:pStyle w:val="57"/>
        <w:ind w:firstLine="422"/>
        <w:rPr>
          <w:b/>
        </w:rPr>
      </w:pPr>
      <w:r>
        <w:rPr>
          <w:b/>
        </w:rPr>
        <w:t xml:space="preserve">1.1 </w:t>
      </w:r>
      <w:r>
        <w:rPr>
          <w:rFonts w:hint="eastAsia"/>
          <w:b/>
        </w:rPr>
        <w:t>瓷杯（含杯碟、垫）、毛巾碟（含毛巾夹）、托盘的流程管理</w:t>
      </w:r>
    </w:p>
    <w:p>
      <w:pPr>
        <w:pStyle w:val="57"/>
        <w:ind w:firstLine="420"/>
      </w:pPr>
      <w:r>
        <w:rPr>
          <w:rFonts w:hint="eastAsia"/>
        </w:rPr>
        <w:t xml:space="preserve">瓷杯（含杯碟、垫）、毛巾碟（含毛巾夹）、托盘的流程管理要求应包括以下内容： </w:t>
      </w:r>
    </w:p>
    <w:p>
      <w:pPr>
        <w:pStyle w:val="57"/>
        <w:ind w:firstLine="420"/>
      </w:pPr>
      <w:r>
        <w:rPr>
          <w:rFonts w:hint="eastAsia"/>
        </w:rPr>
        <w:t>——回收时分层放于存放箱，每层用毛巾铺垫隔开，并检查杯碟、杯垫是否干净无茶渍；</w:t>
      </w:r>
    </w:p>
    <w:p>
      <w:pPr>
        <w:pStyle w:val="57"/>
        <w:ind w:firstLine="420"/>
      </w:pPr>
      <w:r>
        <w:rPr>
          <w:rFonts w:hint="eastAsia"/>
        </w:rPr>
        <w:t>——清洗时将洗消剂倒入水池中，加入温水浸泡5min；</w:t>
      </w:r>
    </w:p>
    <w:p>
      <w:pPr>
        <w:pStyle w:val="57"/>
        <w:ind w:firstLine="420"/>
      </w:pPr>
      <w:r>
        <w:rPr>
          <w:rFonts w:hint="eastAsia"/>
        </w:rPr>
        <w:t>——用民用百洁布擦拭后，用流水冲净洗消剂；</w:t>
      </w:r>
    </w:p>
    <w:p>
      <w:pPr>
        <w:pStyle w:val="57"/>
        <w:ind w:firstLine="420"/>
      </w:pPr>
      <w:r>
        <w:rPr>
          <w:rFonts w:hint="eastAsia"/>
        </w:rPr>
        <w:t>——用开水浸泡后，放入消毒柜消毒30min，存放于专用存放柜；</w:t>
      </w:r>
    </w:p>
    <w:p>
      <w:pPr>
        <w:pStyle w:val="57"/>
        <w:ind w:firstLine="420"/>
      </w:pPr>
      <w:r>
        <w:rPr>
          <w:rFonts w:hint="eastAsia"/>
        </w:rPr>
        <w:t>——下次使用前再次放入消毒柜消毒30min，装入存放箱移至会议厅室；</w:t>
      </w:r>
    </w:p>
    <w:p>
      <w:pPr>
        <w:pStyle w:val="57"/>
        <w:ind w:firstLine="420"/>
      </w:pPr>
      <w:r>
        <w:rPr>
          <w:rFonts w:hint="eastAsia"/>
        </w:rPr>
        <w:t>——托盘使用前后及时清洗并清点数量，存放于专用存放柜。</w:t>
      </w:r>
    </w:p>
    <w:p>
      <w:pPr>
        <w:pStyle w:val="57"/>
        <w:ind w:firstLine="422"/>
        <w:rPr>
          <w:b/>
        </w:rPr>
      </w:pPr>
      <w:r>
        <w:rPr>
          <w:b/>
        </w:rPr>
        <w:t xml:space="preserve">1.2 </w:t>
      </w:r>
      <w:r>
        <w:rPr>
          <w:rFonts w:hint="eastAsia"/>
          <w:b/>
        </w:rPr>
        <w:t>保温壶</w:t>
      </w:r>
    </w:p>
    <w:p>
      <w:pPr>
        <w:pStyle w:val="57"/>
        <w:ind w:firstLine="420"/>
      </w:pPr>
      <w:r>
        <w:rPr>
          <w:rFonts w:hint="eastAsia"/>
        </w:rPr>
        <w:t>保温壶的流程管理要求应包括以下内容：</w:t>
      </w:r>
    </w:p>
    <w:p>
      <w:pPr>
        <w:pStyle w:val="57"/>
        <w:ind w:firstLine="420"/>
      </w:pPr>
      <w:r>
        <w:rPr>
          <w:rFonts w:hint="eastAsia"/>
        </w:rPr>
        <w:t>——使用完毕及时回收，倒掉残余开水，检查壶、壶胆内有无残留杂质；</w:t>
      </w:r>
    </w:p>
    <w:p>
      <w:pPr>
        <w:pStyle w:val="57"/>
        <w:ind w:firstLine="420"/>
      </w:pPr>
      <w:r>
        <w:rPr>
          <w:rFonts w:hint="eastAsia"/>
        </w:rPr>
        <w:t>——彻底冲洗干净后收入至专用存放柜；</w:t>
      </w:r>
    </w:p>
    <w:p>
      <w:pPr>
        <w:pStyle w:val="57"/>
        <w:ind w:firstLine="420"/>
      </w:pPr>
      <w:r>
        <w:rPr>
          <w:rFonts w:hint="eastAsia"/>
        </w:rPr>
        <w:t>——再次使用前，检查有无破损、漏水情况，发现问题及时更换；</w:t>
      </w:r>
    </w:p>
    <w:p>
      <w:pPr>
        <w:pStyle w:val="57"/>
        <w:ind w:firstLine="420"/>
      </w:pPr>
      <w:r>
        <w:rPr>
          <w:rFonts w:hint="eastAsia"/>
        </w:rPr>
        <w:t>——注入开水后，及时擦拭开水保温壶外壁，保证无水渍，无手印；</w:t>
      </w:r>
    </w:p>
    <w:p>
      <w:pPr>
        <w:pStyle w:val="57"/>
        <w:ind w:firstLine="420"/>
      </w:pPr>
      <w:r>
        <w:rPr>
          <w:rFonts w:hint="eastAsia"/>
        </w:rPr>
        <w:t>——每月用百洁布清洗保温壶表面污垢。</w:t>
      </w:r>
    </w:p>
    <w:p>
      <w:pPr>
        <w:pStyle w:val="57"/>
        <w:ind w:firstLine="422"/>
        <w:rPr>
          <w:b/>
        </w:rPr>
      </w:pPr>
      <w:r>
        <w:rPr>
          <w:b/>
        </w:rPr>
        <w:t xml:space="preserve">2 </w:t>
      </w:r>
      <w:r>
        <w:rPr>
          <w:rFonts w:hint="eastAsia"/>
          <w:b/>
        </w:rPr>
        <w:t>食（饮）品</w:t>
      </w:r>
    </w:p>
    <w:p>
      <w:pPr>
        <w:pStyle w:val="57"/>
        <w:ind w:firstLine="420"/>
      </w:pPr>
      <w:r>
        <w:rPr>
          <w:rFonts w:hint="eastAsia"/>
        </w:rPr>
        <w:t>茶叶应存放于冰箱内冷藏，冷藏温度应保持在5℃以下；矿泉水应存放于仓库统一管理。应及时清理浸水、发霉、变质的茶叶和外包装破损、超过保质期的矿泉水。</w:t>
      </w:r>
    </w:p>
    <w:p>
      <w:pPr>
        <w:pStyle w:val="57"/>
        <w:ind w:firstLine="422"/>
        <w:rPr>
          <w:b/>
        </w:rPr>
      </w:pPr>
      <w:r>
        <w:rPr>
          <w:b/>
        </w:rPr>
        <w:t xml:space="preserve">3 </w:t>
      </w:r>
      <w:r>
        <w:rPr>
          <w:rFonts w:hint="eastAsia"/>
          <w:b/>
        </w:rPr>
        <w:t>文具</w:t>
      </w:r>
    </w:p>
    <w:p>
      <w:pPr>
        <w:pStyle w:val="57"/>
        <w:ind w:firstLine="420"/>
      </w:pPr>
      <w:r>
        <w:t xml:space="preserve">1.4.1 </w:t>
      </w:r>
      <w:r>
        <w:rPr>
          <w:rFonts w:hint="eastAsia"/>
        </w:rPr>
        <w:t>笔垫、笔、A4纸使用完毕后应分类回收。</w:t>
      </w:r>
    </w:p>
    <w:p>
      <w:pPr>
        <w:pStyle w:val="57"/>
        <w:ind w:firstLine="420"/>
      </w:pPr>
      <w:r>
        <w:t xml:space="preserve">1.4.2 </w:t>
      </w:r>
      <w:r>
        <w:rPr>
          <w:rFonts w:hint="eastAsia"/>
        </w:rPr>
        <w:t>应检查文具使用情况，清点完毕后填写（附录A），收入存放柜。</w:t>
      </w:r>
    </w:p>
    <w:p>
      <w:pPr>
        <w:pStyle w:val="57"/>
        <w:ind w:firstLine="420"/>
      </w:pPr>
      <w:r>
        <w:t xml:space="preserve">1.4.3 </w:t>
      </w:r>
      <w:r>
        <w:rPr>
          <w:rFonts w:hint="eastAsia"/>
        </w:rPr>
        <w:t>应确保铅笔无短粗、断裂情况；笔垫干净，无笔印。</w:t>
      </w:r>
    </w:p>
    <w:p>
      <w:pPr>
        <w:pStyle w:val="57"/>
        <w:ind w:firstLine="420"/>
      </w:pPr>
      <w:r>
        <w:t xml:space="preserve">1.4.4 </w:t>
      </w:r>
      <w:r>
        <w:rPr>
          <w:rFonts w:hint="eastAsia"/>
        </w:rPr>
        <w:t>应每月进行文具盘点，做好维护工作。</w:t>
      </w:r>
    </w:p>
    <w:p>
      <w:pPr>
        <w:pStyle w:val="57"/>
        <w:ind w:firstLine="422"/>
        <w:rPr>
          <w:b/>
        </w:rPr>
      </w:pPr>
      <w:r>
        <w:rPr>
          <w:b/>
        </w:rPr>
        <w:t xml:space="preserve">4 </w:t>
      </w:r>
      <w:r>
        <w:rPr>
          <w:rFonts w:hint="eastAsia"/>
          <w:b/>
        </w:rPr>
        <w:t>卫生用品</w:t>
      </w:r>
    </w:p>
    <w:p>
      <w:pPr>
        <w:pStyle w:val="57"/>
        <w:ind w:firstLine="422"/>
        <w:rPr>
          <w:b/>
        </w:rPr>
      </w:pPr>
      <w:r>
        <w:rPr>
          <w:b/>
        </w:rPr>
        <w:t xml:space="preserve">4.1 </w:t>
      </w:r>
      <w:r>
        <w:rPr>
          <w:rFonts w:hint="eastAsia"/>
          <w:b/>
        </w:rPr>
        <w:t>毛巾</w:t>
      </w:r>
    </w:p>
    <w:p>
      <w:pPr>
        <w:pStyle w:val="57"/>
        <w:ind w:firstLine="420"/>
      </w:pPr>
      <w:r>
        <w:rPr>
          <w:rFonts w:hint="eastAsia"/>
        </w:rPr>
        <w:t xml:space="preserve">    毛巾的管理要求应包括以下内容：</w:t>
      </w:r>
    </w:p>
    <w:p>
      <w:pPr>
        <w:pStyle w:val="57"/>
        <w:ind w:firstLine="420"/>
      </w:pPr>
      <w:r>
        <w:rPr>
          <w:rFonts w:hint="eastAsia"/>
        </w:rPr>
        <w:t>——回收时逐一检查是否有污渍，无污渍的放入洗衣机清洗，清洗完毕后晾晒；</w:t>
      </w:r>
    </w:p>
    <w:p>
      <w:pPr>
        <w:pStyle w:val="57"/>
        <w:ind w:firstLine="420"/>
      </w:pPr>
      <w:r>
        <w:rPr>
          <w:rFonts w:hint="eastAsia"/>
        </w:rPr>
        <w:t>——如有污渍用消毒液浸泡30min，浸泡后放入洗衣机清洗，清洗完毕后晾晒；</w:t>
      </w:r>
    </w:p>
    <w:p>
      <w:pPr>
        <w:pStyle w:val="57"/>
        <w:ind w:firstLine="420"/>
      </w:pPr>
      <w:r>
        <w:rPr>
          <w:rFonts w:hint="eastAsia"/>
        </w:rPr>
        <w:t>——晾晒后再次检查，分类回收，存放于专门的存放柜；</w:t>
      </w:r>
    </w:p>
    <w:p>
      <w:pPr>
        <w:pStyle w:val="57"/>
        <w:ind w:firstLine="420"/>
      </w:pPr>
      <w:r>
        <w:rPr>
          <w:rFonts w:hint="eastAsia"/>
        </w:rPr>
        <w:t>——使用时从存放柜中拿出干净毛巾，用温水浸泡同时滴入适量花露水；</w:t>
      </w:r>
    </w:p>
    <w:p>
      <w:pPr>
        <w:pStyle w:val="57"/>
        <w:ind w:firstLine="420"/>
      </w:pPr>
      <w:r>
        <w:rPr>
          <w:rFonts w:hint="eastAsia"/>
        </w:rPr>
        <w:t>——将毛巾拧至半干，叠好后放入毛巾蒸车高温消毒。</w:t>
      </w:r>
    </w:p>
    <w:p>
      <w:pPr>
        <w:pStyle w:val="57"/>
        <w:ind w:firstLine="422"/>
        <w:rPr>
          <w:b/>
        </w:rPr>
      </w:pPr>
      <w:r>
        <w:rPr>
          <w:b/>
        </w:rPr>
        <w:t xml:space="preserve">4.2 </w:t>
      </w:r>
      <w:r>
        <w:rPr>
          <w:rFonts w:hint="eastAsia"/>
          <w:b/>
        </w:rPr>
        <w:t>湿纸巾</w:t>
      </w:r>
    </w:p>
    <w:p>
      <w:pPr>
        <w:pStyle w:val="57"/>
        <w:ind w:firstLine="420"/>
      </w:pPr>
      <w:r>
        <w:rPr>
          <w:rFonts w:hint="eastAsia"/>
        </w:rPr>
        <w:t xml:space="preserve">    湿纸巾摆放前后应记录使用情况，相关示例见附件A，统一存放于存放柜，保证其干净整洁。</w:t>
      </w:r>
    </w:p>
    <w:p>
      <w:pPr>
        <w:pStyle w:val="57"/>
        <w:ind w:firstLine="422"/>
        <w:rPr>
          <w:rFonts w:hint="eastAsia"/>
          <w:b/>
        </w:rPr>
      </w:pPr>
      <w:r>
        <w:rPr>
          <w:b/>
        </w:rPr>
        <w:t xml:space="preserve">4.3 </w:t>
      </w:r>
      <w:r>
        <w:rPr>
          <w:rFonts w:hint="eastAsia"/>
          <w:b/>
        </w:rPr>
        <w:t>干纸巾</w:t>
      </w:r>
    </w:p>
    <w:p>
      <w:pPr>
        <w:pStyle w:val="57"/>
        <w:keepNext w:val="0"/>
        <w:keepLines w:val="0"/>
        <w:pageBreakBefore w:val="0"/>
        <w:widowControl/>
        <w:kinsoku/>
        <w:wordWrap/>
        <w:overflowPunct/>
        <w:topLinePunct w:val="0"/>
        <w:autoSpaceDE w:val="0"/>
        <w:autoSpaceDN w:val="0"/>
        <w:bidi w:val="0"/>
        <w:adjustRightInd/>
        <w:snapToGrid/>
        <w:spacing w:line="240" w:lineRule="auto"/>
        <w:ind w:firstLine="422"/>
        <w:textAlignment w:val="auto"/>
        <w:rPr>
          <w:rFonts w:hint="eastAsia"/>
          <w:sz w:val="24"/>
          <w:szCs w:val="24"/>
        </w:rPr>
      </w:pPr>
      <w:r>
        <w:rPr>
          <w:rFonts w:hint="eastAsia"/>
          <w:sz w:val="24"/>
          <w:szCs w:val="24"/>
          <w:lang w:val="en-US" w:eastAsia="zh-CN"/>
        </w:rPr>
        <w:t>干纸巾摆放前后应统一存放于存放柜，保证其干净整洁。</w:t>
      </w:r>
    </w:p>
    <w:p>
      <w:pPr>
        <w:autoSpaceDE w:val="0"/>
        <w:snapToGrid w:val="0"/>
        <w:spacing w:line="240" w:lineRule="auto"/>
        <w:jc w:val="center"/>
        <w:rPr>
          <w:rFonts w:hint="eastAsia"/>
        </w:rPr>
      </w:pPr>
    </w:p>
    <w:p>
      <w:pPr>
        <w:autoSpaceDE w:val="0"/>
        <w:snapToGrid w:val="0"/>
        <w:spacing w:line="240" w:lineRule="auto"/>
        <w:jc w:val="both"/>
        <w:rPr>
          <w:rFonts w:hint="eastAsia"/>
        </w:rPr>
      </w:pPr>
    </w:p>
    <w:p>
      <w:pPr>
        <w:pStyle w:val="77"/>
        <w:shd w:val="clear" w:color="FFFFFF" w:fill="FFFFFF"/>
        <w:spacing w:after="156"/>
        <w:rPr>
          <w:rFonts w:hint="eastAsia"/>
          <w:lang w:val="en-US" w:eastAsia="zh-CN"/>
        </w:rPr>
      </w:pPr>
    </w:p>
    <w:p>
      <w:pPr>
        <w:autoSpaceDE w:val="0"/>
        <w:snapToGrid w:val="0"/>
        <w:spacing w:line="240" w:lineRule="auto"/>
        <w:jc w:val="center"/>
        <w:rPr>
          <w:rFonts w:hint="eastAsia" w:ascii="黑体" w:hAnsi="黑体" w:eastAsia="黑体"/>
          <w:kern w:val="44"/>
        </w:rPr>
      </w:pPr>
      <w:r>
        <w:rPr>
          <w:rFonts w:hint="eastAsia" w:ascii="黑体" w:hAnsi="黑体" w:eastAsia="黑体"/>
          <w:kern w:val="44"/>
        </w:rPr>
        <w:t>（资料性）</w:t>
      </w:r>
    </w:p>
    <w:p>
      <w:pPr>
        <w:pStyle w:val="14"/>
        <w:spacing w:before="2" w:after="1"/>
        <w:jc w:val="center"/>
        <w:rPr>
          <w:sz w:val="16"/>
          <w:szCs w:val="28"/>
        </w:rPr>
      </w:pPr>
      <w:r>
        <w:rPr>
          <w:rFonts w:hint="eastAsia"/>
          <w:sz w:val="28"/>
          <w:szCs w:val="28"/>
        </w:rPr>
        <w:t>会务服务满意度评价表</w:t>
      </w:r>
    </w:p>
    <w:tbl>
      <w:tblPr>
        <w:tblStyle w:val="27"/>
        <w:tblW w:w="9566"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04"/>
        <w:gridCol w:w="2308"/>
        <w:gridCol w:w="872"/>
        <w:gridCol w:w="273"/>
        <w:gridCol w:w="716"/>
        <w:gridCol w:w="632"/>
        <w:gridCol w:w="357"/>
        <w:gridCol w:w="1244"/>
        <w:gridCol w:w="15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0" w:hRule="atLeast"/>
        </w:trPr>
        <w:tc>
          <w:tcPr>
            <w:tcW w:w="1604" w:type="dxa"/>
            <w:tcBorders>
              <w:bottom w:val="single" w:color="000000" w:sz="4" w:space="0"/>
            </w:tcBorders>
          </w:tcPr>
          <w:p>
            <w:pPr>
              <w:pStyle w:val="232"/>
              <w:spacing w:before="0"/>
              <w:ind w:firstLine="0"/>
              <w:jc w:val="center"/>
              <w:rPr>
                <w:rFonts w:hint="eastAsia" w:ascii="Times New Roman" w:eastAsia="宋体"/>
                <w:sz w:val="22"/>
                <w:szCs w:val="28"/>
                <w:lang w:eastAsia="zh-CN"/>
              </w:rPr>
            </w:pPr>
            <w:r>
              <w:rPr>
                <w:rFonts w:hint="eastAsia" w:ascii="Times New Roman"/>
                <w:sz w:val="22"/>
                <w:szCs w:val="28"/>
                <w:lang w:eastAsia="zh-CN"/>
              </w:rPr>
              <w:t>会议名称</w:t>
            </w:r>
          </w:p>
        </w:tc>
        <w:tc>
          <w:tcPr>
            <w:tcW w:w="7962" w:type="dxa"/>
            <w:gridSpan w:val="8"/>
            <w:tcBorders>
              <w:bottom w:val="single" w:color="000000" w:sz="4" w:space="0"/>
            </w:tcBorders>
          </w:tcPr>
          <w:p>
            <w:pPr>
              <w:pStyle w:val="232"/>
              <w:spacing w:before="0"/>
              <w:ind w:firstLine="0"/>
              <w:rPr>
                <w:rFonts w:ascii="Times New Roman"/>
                <w:sz w:val="22"/>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0" w:hRule="atLeast"/>
        </w:trPr>
        <w:tc>
          <w:tcPr>
            <w:tcW w:w="1604" w:type="dxa"/>
            <w:tcBorders>
              <w:bottom w:val="single" w:color="000000" w:sz="4" w:space="0"/>
              <w:right w:val="single" w:color="000000" w:sz="4" w:space="0"/>
            </w:tcBorders>
          </w:tcPr>
          <w:p>
            <w:pPr>
              <w:pStyle w:val="232"/>
              <w:spacing w:before="91"/>
              <w:ind w:firstLine="0"/>
              <w:rPr>
                <w:rFonts w:ascii="黑体"/>
                <w:sz w:val="22"/>
                <w:szCs w:val="28"/>
              </w:rPr>
            </w:pPr>
          </w:p>
          <w:p>
            <w:pPr>
              <w:pStyle w:val="232"/>
              <w:spacing w:before="1"/>
              <w:ind w:left="442" w:firstLine="0"/>
              <w:rPr>
                <w:sz w:val="22"/>
                <w:szCs w:val="28"/>
              </w:rPr>
            </w:pPr>
            <w:r>
              <w:rPr>
                <w:spacing w:val="-3"/>
                <w:sz w:val="22"/>
                <w:szCs w:val="28"/>
              </w:rPr>
              <w:t>服务对象</w:t>
            </w:r>
          </w:p>
        </w:tc>
        <w:tc>
          <w:tcPr>
            <w:tcW w:w="2308" w:type="dxa"/>
            <w:tcBorders>
              <w:left w:val="single" w:color="000000" w:sz="4" w:space="0"/>
              <w:bottom w:val="single" w:color="000000" w:sz="4" w:space="0"/>
              <w:right w:val="single" w:color="000000" w:sz="4" w:space="0"/>
            </w:tcBorders>
          </w:tcPr>
          <w:p>
            <w:pPr>
              <w:pStyle w:val="232"/>
              <w:spacing w:before="0"/>
              <w:ind w:firstLine="0"/>
              <w:rPr>
                <w:rFonts w:ascii="Times New Roman"/>
                <w:sz w:val="22"/>
                <w:szCs w:val="28"/>
              </w:rPr>
            </w:pPr>
          </w:p>
        </w:tc>
        <w:tc>
          <w:tcPr>
            <w:tcW w:w="1145" w:type="dxa"/>
            <w:gridSpan w:val="2"/>
            <w:tcBorders>
              <w:left w:val="single" w:color="000000" w:sz="4" w:space="0"/>
              <w:bottom w:val="single" w:color="000000" w:sz="4" w:space="0"/>
              <w:right w:val="single" w:color="000000" w:sz="4" w:space="0"/>
            </w:tcBorders>
          </w:tcPr>
          <w:p>
            <w:pPr>
              <w:pStyle w:val="232"/>
              <w:spacing w:before="91"/>
              <w:ind w:firstLine="0"/>
              <w:rPr>
                <w:rFonts w:ascii="黑体"/>
                <w:sz w:val="22"/>
                <w:szCs w:val="28"/>
              </w:rPr>
            </w:pPr>
          </w:p>
          <w:p>
            <w:pPr>
              <w:pStyle w:val="232"/>
              <w:spacing w:before="1"/>
              <w:ind w:left="308" w:firstLine="0"/>
              <w:rPr>
                <w:sz w:val="22"/>
                <w:szCs w:val="28"/>
              </w:rPr>
            </w:pPr>
            <w:r>
              <w:rPr>
                <w:w w:val="110"/>
                <w:sz w:val="22"/>
                <w:szCs w:val="28"/>
              </w:rPr>
              <w:t>填</w:t>
            </w:r>
            <w:r>
              <w:rPr>
                <w:rFonts w:hint="eastAsia"/>
                <w:w w:val="110"/>
                <w:sz w:val="22"/>
                <w:szCs w:val="28"/>
                <w:lang w:eastAsia="zh-CN"/>
              </w:rPr>
              <w:t>表</w:t>
            </w:r>
            <w:r>
              <w:rPr>
                <w:spacing w:val="-10"/>
                <w:w w:val="110"/>
                <w:sz w:val="22"/>
                <w:szCs w:val="28"/>
              </w:rPr>
              <w:t>人</w:t>
            </w:r>
          </w:p>
        </w:tc>
        <w:tc>
          <w:tcPr>
            <w:tcW w:w="1348" w:type="dxa"/>
            <w:gridSpan w:val="2"/>
            <w:tcBorders>
              <w:left w:val="single" w:color="000000" w:sz="4" w:space="0"/>
              <w:bottom w:val="single" w:color="000000" w:sz="4" w:space="0"/>
              <w:right w:val="single" w:color="000000" w:sz="4" w:space="0"/>
            </w:tcBorders>
          </w:tcPr>
          <w:p>
            <w:pPr>
              <w:pStyle w:val="232"/>
              <w:spacing w:before="0"/>
              <w:ind w:firstLine="0"/>
              <w:rPr>
                <w:rFonts w:ascii="Times New Roman"/>
                <w:sz w:val="22"/>
                <w:szCs w:val="28"/>
              </w:rPr>
            </w:pPr>
          </w:p>
        </w:tc>
        <w:tc>
          <w:tcPr>
            <w:tcW w:w="1601" w:type="dxa"/>
            <w:gridSpan w:val="2"/>
            <w:tcBorders>
              <w:left w:val="single" w:color="000000" w:sz="4" w:space="0"/>
              <w:bottom w:val="single" w:color="000000" w:sz="4" w:space="0"/>
              <w:right w:val="single" w:color="000000" w:sz="4" w:space="0"/>
            </w:tcBorders>
          </w:tcPr>
          <w:p>
            <w:pPr>
              <w:pStyle w:val="232"/>
              <w:spacing w:before="91"/>
              <w:ind w:firstLine="0"/>
              <w:rPr>
                <w:rFonts w:ascii="黑体"/>
                <w:sz w:val="22"/>
                <w:szCs w:val="28"/>
              </w:rPr>
            </w:pPr>
          </w:p>
          <w:p>
            <w:pPr>
              <w:pStyle w:val="232"/>
              <w:spacing w:before="1"/>
              <w:ind w:left="448" w:firstLine="0"/>
              <w:rPr>
                <w:sz w:val="22"/>
                <w:szCs w:val="28"/>
              </w:rPr>
            </w:pPr>
            <w:r>
              <w:rPr>
                <w:rFonts w:hint="eastAsia"/>
                <w:spacing w:val="-5"/>
                <w:w w:val="110"/>
                <w:sz w:val="22"/>
                <w:szCs w:val="28"/>
                <w:lang w:eastAsia="zh-CN"/>
              </w:rPr>
              <w:t>填表</w:t>
            </w:r>
            <w:r>
              <w:rPr>
                <w:spacing w:val="-5"/>
                <w:w w:val="110"/>
                <w:sz w:val="22"/>
                <w:szCs w:val="28"/>
              </w:rPr>
              <w:t>日期</w:t>
            </w:r>
          </w:p>
        </w:tc>
        <w:tc>
          <w:tcPr>
            <w:tcW w:w="1560" w:type="dxa"/>
            <w:tcBorders>
              <w:left w:val="single" w:color="000000" w:sz="4" w:space="0"/>
              <w:bottom w:val="single" w:color="000000" w:sz="4" w:space="0"/>
            </w:tcBorders>
          </w:tcPr>
          <w:p>
            <w:pPr>
              <w:pStyle w:val="232"/>
              <w:spacing w:before="0"/>
              <w:ind w:firstLine="0"/>
              <w:rPr>
                <w:rFonts w:ascii="Times New Roman"/>
                <w:sz w:val="22"/>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604" w:type="dxa"/>
            <w:vMerge w:val="restart"/>
            <w:tcBorders>
              <w:top w:val="single" w:color="000000" w:sz="4" w:space="0"/>
              <w:bottom w:val="single" w:color="000000" w:sz="4" w:space="0"/>
              <w:right w:val="single" w:color="000000" w:sz="4" w:space="0"/>
            </w:tcBorders>
          </w:tcPr>
          <w:p>
            <w:pPr>
              <w:pStyle w:val="232"/>
              <w:spacing w:before="0"/>
              <w:ind w:firstLine="0"/>
              <w:rPr>
                <w:rFonts w:ascii="黑体"/>
                <w:sz w:val="22"/>
                <w:szCs w:val="28"/>
              </w:rPr>
            </w:pPr>
          </w:p>
          <w:p>
            <w:pPr>
              <w:pStyle w:val="232"/>
              <w:spacing w:before="0"/>
              <w:ind w:firstLine="0"/>
              <w:rPr>
                <w:rFonts w:ascii="黑体"/>
                <w:sz w:val="22"/>
                <w:szCs w:val="28"/>
              </w:rPr>
            </w:pPr>
          </w:p>
          <w:p>
            <w:pPr>
              <w:pStyle w:val="232"/>
              <w:spacing w:before="75"/>
              <w:ind w:firstLine="0"/>
              <w:rPr>
                <w:rFonts w:ascii="黑体"/>
                <w:sz w:val="22"/>
                <w:szCs w:val="28"/>
              </w:rPr>
            </w:pPr>
          </w:p>
          <w:p>
            <w:pPr>
              <w:pStyle w:val="232"/>
              <w:spacing w:before="1"/>
              <w:ind w:left="442" w:firstLine="0"/>
              <w:rPr>
                <w:sz w:val="22"/>
                <w:szCs w:val="28"/>
              </w:rPr>
            </w:pPr>
            <w:r>
              <w:rPr>
                <w:spacing w:val="-3"/>
                <w:sz w:val="22"/>
                <w:szCs w:val="28"/>
              </w:rPr>
              <w:t>调查内容</w:t>
            </w:r>
          </w:p>
        </w:tc>
        <w:tc>
          <w:tcPr>
            <w:tcW w:w="2308" w:type="dxa"/>
            <w:tcBorders>
              <w:top w:val="single" w:color="000000" w:sz="4" w:space="0"/>
              <w:left w:val="single" w:color="000000" w:sz="4" w:space="0"/>
              <w:bottom w:val="single" w:color="000000" w:sz="4" w:space="0"/>
              <w:right w:val="single" w:color="000000" w:sz="4" w:space="0"/>
            </w:tcBorders>
          </w:tcPr>
          <w:p>
            <w:pPr>
              <w:pStyle w:val="232"/>
              <w:spacing w:before="219"/>
              <w:ind w:left="113" w:firstLine="0"/>
              <w:rPr>
                <w:rFonts w:hint="eastAsia" w:eastAsia="宋体"/>
                <w:sz w:val="22"/>
                <w:szCs w:val="28"/>
                <w:lang w:eastAsia="zh-CN"/>
              </w:rPr>
            </w:pPr>
            <w:r>
              <w:rPr>
                <w:sz w:val="22"/>
                <w:szCs w:val="28"/>
              </w:rPr>
              <w:t>会场环境</w:t>
            </w:r>
            <w:r>
              <w:rPr>
                <w:rFonts w:hint="eastAsia"/>
                <w:sz w:val="22"/>
                <w:szCs w:val="28"/>
                <w:lang w:eastAsia="zh-CN"/>
              </w:rPr>
              <w:t>卫生</w:t>
            </w:r>
          </w:p>
        </w:tc>
        <w:tc>
          <w:tcPr>
            <w:tcW w:w="872" w:type="dxa"/>
            <w:tcBorders>
              <w:top w:val="single" w:color="000000" w:sz="4" w:space="0"/>
              <w:left w:val="single" w:color="000000" w:sz="4" w:space="0"/>
              <w:bottom w:val="single" w:color="000000" w:sz="4" w:space="0"/>
              <w:right w:val="nil"/>
            </w:tcBorders>
          </w:tcPr>
          <w:p>
            <w:pPr>
              <w:pStyle w:val="232"/>
              <w:numPr>
                <w:ilvl w:val="0"/>
                <w:numId w:val="37"/>
              </w:numPr>
              <w:tabs>
                <w:tab w:val="left" w:pos="291"/>
              </w:tabs>
              <w:spacing w:before="219" w:after="0" w:line="240" w:lineRule="auto"/>
              <w:ind w:left="291" w:right="0" w:hanging="180"/>
              <w:jc w:val="left"/>
              <w:rPr>
                <w:sz w:val="22"/>
                <w:szCs w:val="28"/>
              </w:rPr>
            </w:pPr>
            <w:r>
              <w:rPr>
                <w:spacing w:val="-5"/>
                <w:sz w:val="22"/>
                <w:szCs w:val="28"/>
              </w:rPr>
              <w:t>很好</w:t>
            </w:r>
          </w:p>
        </w:tc>
        <w:tc>
          <w:tcPr>
            <w:tcW w:w="989" w:type="dxa"/>
            <w:gridSpan w:val="2"/>
            <w:tcBorders>
              <w:top w:val="single" w:color="000000" w:sz="4" w:space="0"/>
              <w:left w:val="nil"/>
              <w:bottom w:val="single" w:color="000000" w:sz="4" w:space="0"/>
              <w:right w:val="nil"/>
            </w:tcBorders>
          </w:tcPr>
          <w:p>
            <w:pPr>
              <w:pStyle w:val="232"/>
              <w:numPr>
                <w:ilvl w:val="0"/>
                <w:numId w:val="38"/>
              </w:numPr>
              <w:tabs>
                <w:tab w:val="left" w:pos="416"/>
              </w:tabs>
              <w:spacing w:before="219" w:after="0" w:line="240" w:lineRule="auto"/>
              <w:ind w:left="416" w:right="0" w:hanging="180"/>
              <w:jc w:val="left"/>
              <w:rPr>
                <w:sz w:val="22"/>
                <w:szCs w:val="28"/>
              </w:rPr>
            </w:pPr>
            <w:r>
              <w:rPr>
                <w:spacing w:val="-5"/>
                <w:sz w:val="22"/>
                <w:szCs w:val="28"/>
              </w:rPr>
              <w:t>较好</w:t>
            </w:r>
          </w:p>
        </w:tc>
        <w:tc>
          <w:tcPr>
            <w:tcW w:w="989" w:type="dxa"/>
            <w:gridSpan w:val="2"/>
            <w:tcBorders>
              <w:top w:val="single" w:color="000000" w:sz="4" w:space="0"/>
              <w:left w:val="nil"/>
              <w:bottom w:val="single" w:color="000000" w:sz="4" w:space="0"/>
              <w:right w:val="nil"/>
            </w:tcBorders>
          </w:tcPr>
          <w:p>
            <w:pPr>
              <w:pStyle w:val="232"/>
              <w:numPr>
                <w:ilvl w:val="0"/>
                <w:numId w:val="39"/>
              </w:numPr>
              <w:tabs>
                <w:tab w:val="left" w:pos="416"/>
              </w:tabs>
              <w:spacing w:before="219" w:after="0" w:line="240" w:lineRule="auto"/>
              <w:ind w:left="416" w:right="0" w:hanging="180"/>
              <w:jc w:val="left"/>
              <w:rPr>
                <w:sz w:val="22"/>
                <w:szCs w:val="28"/>
              </w:rPr>
            </w:pPr>
            <w:r>
              <w:rPr>
                <w:spacing w:val="-5"/>
                <w:sz w:val="22"/>
                <w:szCs w:val="28"/>
              </w:rPr>
              <w:t>—般</w:t>
            </w:r>
          </w:p>
        </w:tc>
        <w:tc>
          <w:tcPr>
            <w:tcW w:w="2804" w:type="dxa"/>
            <w:gridSpan w:val="2"/>
            <w:tcBorders>
              <w:top w:val="single" w:color="000000" w:sz="4" w:space="0"/>
              <w:left w:val="nil"/>
              <w:bottom w:val="single" w:color="000000" w:sz="4" w:space="0"/>
            </w:tcBorders>
          </w:tcPr>
          <w:p>
            <w:pPr>
              <w:pStyle w:val="232"/>
              <w:numPr>
                <w:ilvl w:val="0"/>
                <w:numId w:val="40"/>
              </w:numPr>
              <w:tabs>
                <w:tab w:val="left" w:pos="418"/>
              </w:tabs>
              <w:spacing w:before="219" w:after="0" w:line="240" w:lineRule="auto"/>
              <w:ind w:left="418" w:right="0" w:hanging="180"/>
              <w:jc w:val="left"/>
              <w:rPr>
                <w:sz w:val="22"/>
                <w:szCs w:val="28"/>
              </w:rPr>
            </w:pPr>
            <w:r>
              <w:rPr>
                <w:spacing w:val="-5"/>
                <w:sz w:val="22"/>
                <w:szCs w:val="28"/>
              </w:rPr>
              <w:t>较差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1604" w:type="dxa"/>
            <w:vMerge w:val="continue"/>
            <w:tcBorders>
              <w:top w:val="nil"/>
              <w:bottom w:val="single" w:color="000000" w:sz="4" w:space="0"/>
              <w:right w:val="single" w:color="000000" w:sz="4" w:space="0"/>
            </w:tcBorders>
          </w:tcPr>
          <w:p>
            <w:pPr>
              <w:rPr>
                <w:sz w:val="8"/>
                <w:szCs w:val="8"/>
              </w:rPr>
            </w:pPr>
          </w:p>
        </w:tc>
        <w:tc>
          <w:tcPr>
            <w:tcW w:w="2308" w:type="dxa"/>
            <w:tcBorders>
              <w:top w:val="single" w:color="000000" w:sz="4" w:space="0"/>
              <w:left w:val="single" w:color="000000" w:sz="4" w:space="0"/>
              <w:bottom w:val="single" w:color="000000" w:sz="4" w:space="0"/>
              <w:right w:val="single" w:color="000000" w:sz="4" w:space="0"/>
            </w:tcBorders>
          </w:tcPr>
          <w:p>
            <w:pPr>
              <w:pStyle w:val="232"/>
              <w:spacing w:before="208"/>
              <w:ind w:left="113" w:firstLine="0"/>
              <w:rPr>
                <w:sz w:val="22"/>
                <w:szCs w:val="28"/>
              </w:rPr>
            </w:pPr>
            <w:r>
              <w:rPr>
                <w:spacing w:val="-2"/>
                <w:sz w:val="22"/>
                <w:szCs w:val="28"/>
              </w:rPr>
              <w:t>会场指引引导</w:t>
            </w:r>
          </w:p>
        </w:tc>
        <w:tc>
          <w:tcPr>
            <w:tcW w:w="872" w:type="dxa"/>
            <w:tcBorders>
              <w:top w:val="single" w:color="000000" w:sz="4" w:space="0"/>
              <w:left w:val="single" w:color="000000" w:sz="4" w:space="0"/>
              <w:bottom w:val="single" w:color="000000" w:sz="4" w:space="0"/>
              <w:right w:val="nil"/>
            </w:tcBorders>
          </w:tcPr>
          <w:p>
            <w:pPr>
              <w:pStyle w:val="232"/>
              <w:numPr>
                <w:ilvl w:val="0"/>
                <w:numId w:val="41"/>
              </w:numPr>
              <w:tabs>
                <w:tab w:val="left" w:pos="291"/>
              </w:tabs>
              <w:spacing w:before="208" w:after="0" w:line="240" w:lineRule="auto"/>
              <w:ind w:left="291" w:right="0" w:hanging="180"/>
              <w:jc w:val="left"/>
              <w:rPr>
                <w:sz w:val="22"/>
                <w:szCs w:val="28"/>
              </w:rPr>
            </w:pPr>
            <w:r>
              <w:rPr>
                <w:spacing w:val="-5"/>
                <w:sz w:val="22"/>
                <w:szCs w:val="28"/>
              </w:rPr>
              <w:t>很好</w:t>
            </w:r>
          </w:p>
        </w:tc>
        <w:tc>
          <w:tcPr>
            <w:tcW w:w="989" w:type="dxa"/>
            <w:gridSpan w:val="2"/>
            <w:tcBorders>
              <w:top w:val="single" w:color="000000" w:sz="4" w:space="0"/>
              <w:left w:val="nil"/>
              <w:bottom w:val="single" w:color="000000" w:sz="4" w:space="0"/>
              <w:right w:val="nil"/>
            </w:tcBorders>
          </w:tcPr>
          <w:p>
            <w:pPr>
              <w:pStyle w:val="232"/>
              <w:numPr>
                <w:ilvl w:val="0"/>
                <w:numId w:val="42"/>
              </w:numPr>
              <w:tabs>
                <w:tab w:val="left" w:pos="416"/>
              </w:tabs>
              <w:spacing w:before="208" w:after="0" w:line="240" w:lineRule="auto"/>
              <w:ind w:left="416" w:right="0" w:hanging="180"/>
              <w:jc w:val="left"/>
              <w:rPr>
                <w:sz w:val="22"/>
                <w:szCs w:val="28"/>
              </w:rPr>
            </w:pPr>
            <w:r>
              <w:rPr>
                <w:spacing w:val="-5"/>
                <w:sz w:val="22"/>
                <w:szCs w:val="28"/>
              </w:rPr>
              <w:t>较好</w:t>
            </w:r>
          </w:p>
        </w:tc>
        <w:tc>
          <w:tcPr>
            <w:tcW w:w="989" w:type="dxa"/>
            <w:gridSpan w:val="2"/>
            <w:tcBorders>
              <w:top w:val="single" w:color="000000" w:sz="4" w:space="0"/>
              <w:left w:val="nil"/>
              <w:bottom w:val="single" w:color="000000" w:sz="4" w:space="0"/>
              <w:right w:val="nil"/>
            </w:tcBorders>
          </w:tcPr>
          <w:p>
            <w:pPr>
              <w:pStyle w:val="232"/>
              <w:numPr>
                <w:ilvl w:val="0"/>
                <w:numId w:val="43"/>
              </w:numPr>
              <w:tabs>
                <w:tab w:val="left" w:pos="416"/>
              </w:tabs>
              <w:spacing w:before="208" w:after="0" w:line="240" w:lineRule="auto"/>
              <w:ind w:left="416" w:right="0" w:hanging="180"/>
              <w:jc w:val="left"/>
              <w:rPr>
                <w:sz w:val="22"/>
                <w:szCs w:val="28"/>
              </w:rPr>
            </w:pPr>
            <w:r>
              <w:rPr>
                <w:spacing w:val="-5"/>
                <w:sz w:val="22"/>
                <w:szCs w:val="28"/>
              </w:rPr>
              <w:t>—般</w:t>
            </w:r>
          </w:p>
        </w:tc>
        <w:tc>
          <w:tcPr>
            <w:tcW w:w="2804" w:type="dxa"/>
            <w:gridSpan w:val="2"/>
            <w:tcBorders>
              <w:top w:val="single" w:color="000000" w:sz="4" w:space="0"/>
              <w:left w:val="nil"/>
              <w:bottom w:val="single" w:color="000000" w:sz="4" w:space="0"/>
            </w:tcBorders>
          </w:tcPr>
          <w:p>
            <w:pPr>
              <w:pStyle w:val="232"/>
              <w:numPr>
                <w:ilvl w:val="0"/>
                <w:numId w:val="44"/>
              </w:numPr>
              <w:tabs>
                <w:tab w:val="left" w:pos="418"/>
              </w:tabs>
              <w:spacing w:before="208" w:after="0" w:line="240" w:lineRule="auto"/>
              <w:ind w:left="418" w:right="0" w:hanging="180"/>
              <w:jc w:val="left"/>
              <w:rPr>
                <w:sz w:val="22"/>
                <w:szCs w:val="28"/>
              </w:rPr>
            </w:pPr>
            <w:r>
              <w:rPr>
                <w:spacing w:val="-5"/>
                <w:sz w:val="22"/>
                <w:szCs w:val="28"/>
              </w:rPr>
              <w:t>较差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1604" w:type="dxa"/>
            <w:vMerge w:val="continue"/>
            <w:tcBorders>
              <w:top w:val="nil"/>
              <w:bottom w:val="single" w:color="000000" w:sz="4" w:space="0"/>
              <w:right w:val="single" w:color="000000" w:sz="4" w:space="0"/>
            </w:tcBorders>
          </w:tcPr>
          <w:p>
            <w:pPr>
              <w:rPr>
                <w:sz w:val="8"/>
                <w:szCs w:val="8"/>
              </w:rPr>
            </w:pPr>
          </w:p>
        </w:tc>
        <w:tc>
          <w:tcPr>
            <w:tcW w:w="2308" w:type="dxa"/>
            <w:tcBorders>
              <w:top w:val="single" w:color="000000" w:sz="4" w:space="0"/>
              <w:left w:val="single" w:color="000000" w:sz="4" w:space="0"/>
              <w:bottom w:val="single" w:color="000000" w:sz="4" w:space="0"/>
              <w:right w:val="single" w:color="000000" w:sz="4" w:space="0"/>
            </w:tcBorders>
          </w:tcPr>
          <w:p>
            <w:pPr>
              <w:pStyle w:val="232"/>
              <w:spacing w:before="213"/>
              <w:ind w:left="113" w:firstLine="0"/>
              <w:rPr>
                <w:sz w:val="22"/>
                <w:szCs w:val="28"/>
              </w:rPr>
            </w:pPr>
            <w:r>
              <w:rPr>
                <w:spacing w:val="-2"/>
                <w:sz w:val="22"/>
                <w:szCs w:val="28"/>
              </w:rPr>
              <w:t>会场服务及时性</w:t>
            </w:r>
          </w:p>
        </w:tc>
        <w:tc>
          <w:tcPr>
            <w:tcW w:w="872" w:type="dxa"/>
            <w:tcBorders>
              <w:top w:val="single" w:color="000000" w:sz="4" w:space="0"/>
              <w:left w:val="single" w:color="000000" w:sz="4" w:space="0"/>
              <w:bottom w:val="single" w:color="000000" w:sz="4" w:space="0"/>
              <w:right w:val="nil"/>
            </w:tcBorders>
          </w:tcPr>
          <w:p>
            <w:pPr>
              <w:pStyle w:val="232"/>
              <w:numPr>
                <w:ilvl w:val="0"/>
                <w:numId w:val="45"/>
              </w:numPr>
              <w:tabs>
                <w:tab w:val="left" w:pos="291"/>
              </w:tabs>
              <w:spacing w:before="213" w:after="0" w:line="240" w:lineRule="auto"/>
              <w:ind w:left="291" w:right="0" w:hanging="180"/>
              <w:jc w:val="left"/>
              <w:rPr>
                <w:sz w:val="22"/>
                <w:szCs w:val="28"/>
              </w:rPr>
            </w:pPr>
            <w:r>
              <w:rPr>
                <w:spacing w:val="-5"/>
                <w:sz w:val="22"/>
                <w:szCs w:val="28"/>
              </w:rPr>
              <w:t>很好</w:t>
            </w:r>
          </w:p>
        </w:tc>
        <w:tc>
          <w:tcPr>
            <w:tcW w:w="989" w:type="dxa"/>
            <w:gridSpan w:val="2"/>
            <w:tcBorders>
              <w:top w:val="single" w:color="000000" w:sz="4" w:space="0"/>
              <w:left w:val="nil"/>
              <w:bottom w:val="single" w:color="000000" w:sz="4" w:space="0"/>
              <w:right w:val="nil"/>
            </w:tcBorders>
          </w:tcPr>
          <w:p>
            <w:pPr>
              <w:pStyle w:val="232"/>
              <w:numPr>
                <w:ilvl w:val="0"/>
                <w:numId w:val="46"/>
              </w:numPr>
              <w:tabs>
                <w:tab w:val="left" w:pos="416"/>
              </w:tabs>
              <w:spacing w:before="213" w:after="0" w:line="240" w:lineRule="auto"/>
              <w:ind w:left="416" w:right="0" w:hanging="180"/>
              <w:jc w:val="left"/>
              <w:rPr>
                <w:sz w:val="22"/>
                <w:szCs w:val="28"/>
              </w:rPr>
            </w:pPr>
            <w:r>
              <w:rPr>
                <w:spacing w:val="-5"/>
                <w:sz w:val="22"/>
                <w:szCs w:val="28"/>
              </w:rPr>
              <w:t>较好</w:t>
            </w:r>
          </w:p>
        </w:tc>
        <w:tc>
          <w:tcPr>
            <w:tcW w:w="989" w:type="dxa"/>
            <w:gridSpan w:val="2"/>
            <w:tcBorders>
              <w:top w:val="single" w:color="000000" w:sz="4" w:space="0"/>
              <w:left w:val="nil"/>
              <w:bottom w:val="single" w:color="000000" w:sz="4" w:space="0"/>
              <w:right w:val="nil"/>
            </w:tcBorders>
          </w:tcPr>
          <w:p>
            <w:pPr>
              <w:pStyle w:val="232"/>
              <w:numPr>
                <w:ilvl w:val="0"/>
                <w:numId w:val="47"/>
              </w:numPr>
              <w:tabs>
                <w:tab w:val="left" w:pos="416"/>
              </w:tabs>
              <w:spacing w:before="213" w:after="0" w:line="240" w:lineRule="auto"/>
              <w:ind w:left="416" w:right="0" w:hanging="180"/>
              <w:jc w:val="left"/>
              <w:rPr>
                <w:sz w:val="22"/>
                <w:szCs w:val="28"/>
              </w:rPr>
            </w:pPr>
            <w:r>
              <w:rPr>
                <w:spacing w:val="-5"/>
                <w:sz w:val="22"/>
                <w:szCs w:val="28"/>
              </w:rPr>
              <w:t>—般</w:t>
            </w:r>
          </w:p>
        </w:tc>
        <w:tc>
          <w:tcPr>
            <w:tcW w:w="2804" w:type="dxa"/>
            <w:gridSpan w:val="2"/>
            <w:tcBorders>
              <w:top w:val="single" w:color="000000" w:sz="4" w:space="0"/>
              <w:left w:val="nil"/>
              <w:bottom w:val="single" w:color="000000" w:sz="4" w:space="0"/>
            </w:tcBorders>
          </w:tcPr>
          <w:p>
            <w:pPr>
              <w:pStyle w:val="232"/>
              <w:numPr>
                <w:ilvl w:val="0"/>
                <w:numId w:val="48"/>
              </w:numPr>
              <w:tabs>
                <w:tab w:val="left" w:pos="418"/>
              </w:tabs>
              <w:spacing w:before="213" w:after="0" w:line="240" w:lineRule="auto"/>
              <w:ind w:left="418" w:right="0" w:hanging="180"/>
              <w:jc w:val="left"/>
              <w:rPr>
                <w:sz w:val="22"/>
                <w:szCs w:val="28"/>
              </w:rPr>
            </w:pPr>
            <w:r>
              <w:rPr>
                <w:spacing w:val="-5"/>
                <w:sz w:val="22"/>
                <w:szCs w:val="28"/>
              </w:rPr>
              <w:t>较差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604" w:type="dxa"/>
            <w:vMerge w:val="continue"/>
            <w:tcBorders>
              <w:top w:val="nil"/>
              <w:bottom w:val="single" w:color="000000" w:sz="4" w:space="0"/>
              <w:right w:val="single" w:color="000000" w:sz="4" w:space="0"/>
            </w:tcBorders>
          </w:tcPr>
          <w:p>
            <w:pPr>
              <w:rPr>
                <w:sz w:val="8"/>
                <w:szCs w:val="8"/>
              </w:rPr>
            </w:pPr>
          </w:p>
        </w:tc>
        <w:tc>
          <w:tcPr>
            <w:tcW w:w="2308" w:type="dxa"/>
            <w:tcBorders>
              <w:top w:val="single" w:color="000000" w:sz="4" w:space="0"/>
              <w:left w:val="single" w:color="000000" w:sz="4" w:space="0"/>
              <w:bottom w:val="single" w:color="000000" w:sz="4" w:space="0"/>
              <w:right w:val="single" w:color="000000" w:sz="4" w:space="0"/>
            </w:tcBorders>
          </w:tcPr>
          <w:p>
            <w:pPr>
              <w:pStyle w:val="232"/>
              <w:spacing w:before="224"/>
              <w:ind w:left="113" w:firstLine="0"/>
              <w:rPr>
                <w:rFonts w:hint="eastAsia" w:eastAsia="宋体"/>
                <w:sz w:val="22"/>
                <w:szCs w:val="28"/>
                <w:lang w:eastAsia="zh-CN"/>
              </w:rPr>
            </w:pPr>
            <w:r>
              <w:rPr>
                <w:spacing w:val="-2"/>
                <w:sz w:val="22"/>
                <w:szCs w:val="28"/>
              </w:rPr>
              <w:t>会场服务</w:t>
            </w:r>
            <w:r>
              <w:rPr>
                <w:rFonts w:hint="eastAsia"/>
                <w:spacing w:val="-2"/>
                <w:sz w:val="22"/>
                <w:szCs w:val="28"/>
                <w:lang w:eastAsia="zh-CN"/>
              </w:rPr>
              <w:t>态度</w:t>
            </w:r>
          </w:p>
        </w:tc>
        <w:tc>
          <w:tcPr>
            <w:tcW w:w="872" w:type="dxa"/>
            <w:tcBorders>
              <w:top w:val="single" w:color="000000" w:sz="4" w:space="0"/>
              <w:left w:val="single" w:color="000000" w:sz="4" w:space="0"/>
              <w:bottom w:val="single" w:color="000000" w:sz="4" w:space="0"/>
              <w:right w:val="nil"/>
            </w:tcBorders>
          </w:tcPr>
          <w:p>
            <w:pPr>
              <w:pStyle w:val="232"/>
              <w:numPr>
                <w:ilvl w:val="0"/>
                <w:numId w:val="49"/>
              </w:numPr>
              <w:tabs>
                <w:tab w:val="left" w:pos="291"/>
              </w:tabs>
              <w:spacing w:before="224" w:after="0" w:line="240" w:lineRule="auto"/>
              <w:ind w:left="291" w:right="0" w:hanging="180"/>
              <w:jc w:val="left"/>
              <w:rPr>
                <w:sz w:val="22"/>
                <w:szCs w:val="28"/>
              </w:rPr>
            </w:pPr>
            <w:r>
              <w:rPr>
                <w:spacing w:val="-5"/>
                <w:sz w:val="22"/>
                <w:szCs w:val="28"/>
              </w:rPr>
              <w:t>很好</w:t>
            </w:r>
          </w:p>
        </w:tc>
        <w:tc>
          <w:tcPr>
            <w:tcW w:w="989" w:type="dxa"/>
            <w:gridSpan w:val="2"/>
            <w:tcBorders>
              <w:top w:val="single" w:color="000000" w:sz="4" w:space="0"/>
              <w:left w:val="nil"/>
              <w:bottom w:val="single" w:color="000000" w:sz="4" w:space="0"/>
              <w:right w:val="nil"/>
            </w:tcBorders>
          </w:tcPr>
          <w:p>
            <w:pPr>
              <w:pStyle w:val="232"/>
              <w:numPr>
                <w:ilvl w:val="0"/>
                <w:numId w:val="50"/>
              </w:numPr>
              <w:tabs>
                <w:tab w:val="left" w:pos="416"/>
              </w:tabs>
              <w:spacing w:before="224" w:after="0" w:line="240" w:lineRule="auto"/>
              <w:ind w:left="416" w:right="0" w:hanging="180"/>
              <w:jc w:val="left"/>
              <w:rPr>
                <w:sz w:val="22"/>
                <w:szCs w:val="28"/>
              </w:rPr>
            </w:pPr>
            <w:r>
              <w:rPr>
                <w:spacing w:val="-5"/>
                <w:sz w:val="22"/>
                <w:szCs w:val="28"/>
              </w:rPr>
              <w:t>较好</w:t>
            </w:r>
          </w:p>
        </w:tc>
        <w:tc>
          <w:tcPr>
            <w:tcW w:w="989" w:type="dxa"/>
            <w:gridSpan w:val="2"/>
            <w:tcBorders>
              <w:top w:val="single" w:color="000000" w:sz="4" w:space="0"/>
              <w:left w:val="nil"/>
              <w:bottom w:val="single" w:color="000000" w:sz="4" w:space="0"/>
              <w:right w:val="nil"/>
            </w:tcBorders>
          </w:tcPr>
          <w:p>
            <w:pPr>
              <w:pStyle w:val="232"/>
              <w:numPr>
                <w:ilvl w:val="0"/>
                <w:numId w:val="51"/>
              </w:numPr>
              <w:tabs>
                <w:tab w:val="left" w:pos="416"/>
              </w:tabs>
              <w:spacing w:before="224" w:after="0" w:line="240" w:lineRule="auto"/>
              <w:ind w:left="416" w:right="0" w:hanging="180"/>
              <w:jc w:val="left"/>
              <w:rPr>
                <w:sz w:val="22"/>
                <w:szCs w:val="28"/>
              </w:rPr>
            </w:pPr>
            <w:r>
              <w:rPr>
                <w:spacing w:val="-5"/>
                <w:sz w:val="22"/>
                <w:szCs w:val="28"/>
              </w:rPr>
              <w:t>—般</w:t>
            </w:r>
          </w:p>
        </w:tc>
        <w:tc>
          <w:tcPr>
            <w:tcW w:w="2804" w:type="dxa"/>
            <w:gridSpan w:val="2"/>
            <w:tcBorders>
              <w:top w:val="single" w:color="000000" w:sz="4" w:space="0"/>
              <w:left w:val="nil"/>
              <w:bottom w:val="single" w:color="000000" w:sz="4" w:space="0"/>
            </w:tcBorders>
          </w:tcPr>
          <w:p>
            <w:pPr>
              <w:pStyle w:val="232"/>
              <w:numPr>
                <w:ilvl w:val="0"/>
                <w:numId w:val="52"/>
              </w:numPr>
              <w:tabs>
                <w:tab w:val="left" w:pos="418"/>
              </w:tabs>
              <w:spacing w:before="224" w:after="0" w:line="240" w:lineRule="auto"/>
              <w:ind w:left="418" w:right="0" w:hanging="180"/>
              <w:jc w:val="left"/>
              <w:rPr>
                <w:sz w:val="22"/>
                <w:szCs w:val="28"/>
              </w:rPr>
            </w:pPr>
            <w:r>
              <w:rPr>
                <w:spacing w:val="-5"/>
                <w:sz w:val="22"/>
                <w:szCs w:val="28"/>
              </w:rPr>
              <w:t>较差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1604" w:type="dxa"/>
            <w:vMerge w:val="continue"/>
            <w:tcBorders>
              <w:top w:val="nil"/>
              <w:bottom w:val="single" w:color="000000" w:sz="4" w:space="0"/>
              <w:right w:val="single" w:color="000000" w:sz="4" w:space="0"/>
            </w:tcBorders>
          </w:tcPr>
          <w:p>
            <w:pPr>
              <w:rPr>
                <w:sz w:val="8"/>
                <w:szCs w:val="8"/>
              </w:rPr>
            </w:pPr>
          </w:p>
        </w:tc>
        <w:tc>
          <w:tcPr>
            <w:tcW w:w="2308" w:type="dxa"/>
            <w:tcBorders>
              <w:top w:val="single" w:color="000000" w:sz="4" w:space="0"/>
              <w:left w:val="single" w:color="000000" w:sz="4" w:space="0"/>
              <w:bottom w:val="single" w:color="000000" w:sz="4" w:space="0"/>
              <w:right w:val="single" w:color="000000" w:sz="4" w:space="0"/>
            </w:tcBorders>
          </w:tcPr>
          <w:p>
            <w:pPr>
              <w:pStyle w:val="232"/>
              <w:ind w:left="113" w:firstLine="0"/>
              <w:rPr>
                <w:sz w:val="22"/>
                <w:szCs w:val="28"/>
              </w:rPr>
            </w:pPr>
            <w:r>
              <w:rPr>
                <w:spacing w:val="-1"/>
                <w:sz w:val="22"/>
                <w:szCs w:val="28"/>
              </w:rPr>
              <w:t>会场音响、视频等效果</w:t>
            </w:r>
          </w:p>
        </w:tc>
        <w:tc>
          <w:tcPr>
            <w:tcW w:w="872" w:type="dxa"/>
            <w:tcBorders>
              <w:top w:val="single" w:color="000000" w:sz="4" w:space="0"/>
              <w:left w:val="single" w:color="000000" w:sz="4" w:space="0"/>
              <w:bottom w:val="single" w:color="000000" w:sz="4" w:space="0"/>
              <w:right w:val="nil"/>
            </w:tcBorders>
          </w:tcPr>
          <w:p>
            <w:pPr>
              <w:pStyle w:val="232"/>
              <w:numPr>
                <w:ilvl w:val="0"/>
                <w:numId w:val="53"/>
              </w:numPr>
              <w:tabs>
                <w:tab w:val="left" w:pos="291"/>
              </w:tabs>
              <w:spacing w:before="136" w:after="0" w:line="240" w:lineRule="auto"/>
              <w:ind w:left="291" w:right="0" w:hanging="180"/>
              <w:jc w:val="left"/>
              <w:rPr>
                <w:sz w:val="22"/>
                <w:szCs w:val="28"/>
              </w:rPr>
            </w:pPr>
            <w:r>
              <w:rPr>
                <w:spacing w:val="-5"/>
                <w:sz w:val="22"/>
                <w:szCs w:val="28"/>
              </w:rPr>
              <w:t>很好</w:t>
            </w:r>
          </w:p>
        </w:tc>
        <w:tc>
          <w:tcPr>
            <w:tcW w:w="989" w:type="dxa"/>
            <w:gridSpan w:val="2"/>
            <w:tcBorders>
              <w:top w:val="single" w:color="000000" w:sz="4" w:space="0"/>
              <w:left w:val="nil"/>
              <w:bottom w:val="single" w:color="000000" w:sz="4" w:space="0"/>
              <w:right w:val="nil"/>
            </w:tcBorders>
          </w:tcPr>
          <w:p>
            <w:pPr>
              <w:pStyle w:val="232"/>
              <w:numPr>
                <w:ilvl w:val="0"/>
                <w:numId w:val="54"/>
              </w:numPr>
              <w:tabs>
                <w:tab w:val="left" w:pos="416"/>
              </w:tabs>
              <w:spacing w:before="136" w:after="0" w:line="240" w:lineRule="auto"/>
              <w:ind w:left="416" w:right="0" w:hanging="180"/>
              <w:jc w:val="left"/>
              <w:rPr>
                <w:sz w:val="22"/>
                <w:szCs w:val="28"/>
              </w:rPr>
            </w:pPr>
            <w:r>
              <w:rPr>
                <w:spacing w:val="-5"/>
                <w:sz w:val="22"/>
                <w:szCs w:val="28"/>
              </w:rPr>
              <w:t>较好</w:t>
            </w:r>
          </w:p>
        </w:tc>
        <w:tc>
          <w:tcPr>
            <w:tcW w:w="989" w:type="dxa"/>
            <w:gridSpan w:val="2"/>
            <w:tcBorders>
              <w:top w:val="single" w:color="000000" w:sz="4" w:space="0"/>
              <w:left w:val="nil"/>
              <w:bottom w:val="single" w:color="000000" w:sz="4" w:space="0"/>
              <w:right w:val="nil"/>
            </w:tcBorders>
          </w:tcPr>
          <w:p>
            <w:pPr>
              <w:pStyle w:val="232"/>
              <w:numPr>
                <w:ilvl w:val="0"/>
                <w:numId w:val="55"/>
              </w:numPr>
              <w:tabs>
                <w:tab w:val="left" w:pos="416"/>
              </w:tabs>
              <w:spacing w:before="136" w:after="0" w:line="240" w:lineRule="auto"/>
              <w:ind w:left="416" w:right="0" w:hanging="180"/>
              <w:jc w:val="left"/>
              <w:rPr>
                <w:sz w:val="22"/>
                <w:szCs w:val="28"/>
              </w:rPr>
            </w:pPr>
            <w:r>
              <w:rPr>
                <w:spacing w:val="-5"/>
                <w:sz w:val="22"/>
                <w:szCs w:val="28"/>
              </w:rPr>
              <w:t>—般</w:t>
            </w:r>
          </w:p>
        </w:tc>
        <w:tc>
          <w:tcPr>
            <w:tcW w:w="2804" w:type="dxa"/>
            <w:gridSpan w:val="2"/>
            <w:tcBorders>
              <w:top w:val="single" w:color="000000" w:sz="4" w:space="0"/>
              <w:left w:val="nil"/>
              <w:bottom w:val="single" w:color="000000" w:sz="4" w:space="0"/>
            </w:tcBorders>
          </w:tcPr>
          <w:p>
            <w:pPr>
              <w:pStyle w:val="232"/>
              <w:numPr>
                <w:ilvl w:val="0"/>
                <w:numId w:val="56"/>
              </w:numPr>
              <w:tabs>
                <w:tab w:val="left" w:pos="418"/>
              </w:tabs>
              <w:spacing w:before="136" w:after="0" w:line="240" w:lineRule="auto"/>
              <w:ind w:left="418" w:right="0" w:hanging="180"/>
              <w:jc w:val="left"/>
              <w:rPr>
                <w:sz w:val="22"/>
                <w:szCs w:val="28"/>
              </w:rPr>
            </w:pPr>
            <w:r>
              <w:rPr>
                <w:spacing w:val="-5"/>
                <w:sz w:val="22"/>
                <w:szCs w:val="28"/>
              </w:rPr>
              <w:t>较差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1604" w:type="dxa"/>
            <w:vMerge w:val="continue"/>
            <w:tcBorders>
              <w:top w:val="nil"/>
              <w:bottom w:val="single" w:color="000000" w:sz="4" w:space="0"/>
              <w:right w:val="single" w:color="000000" w:sz="4" w:space="0"/>
            </w:tcBorders>
          </w:tcPr>
          <w:p>
            <w:pPr>
              <w:rPr>
                <w:sz w:val="8"/>
                <w:szCs w:val="8"/>
              </w:rPr>
            </w:pPr>
          </w:p>
        </w:tc>
        <w:tc>
          <w:tcPr>
            <w:tcW w:w="2308" w:type="dxa"/>
            <w:tcBorders>
              <w:top w:val="single" w:color="000000" w:sz="4" w:space="0"/>
              <w:left w:val="single" w:color="000000" w:sz="4" w:space="0"/>
              <w:bottom w:val="single" w:color="000000" w:sz="4" w:space="0"/>
              <w:right w:val="single" w:color="000000" w:sz="4" w:space="0"/>
            </w:tcBorders>
          </w:tcPr>
          <w:p>
            <w:pPr>
              <w:pStyle w:val="232"/>
              <w:ind w:left="113" w:firstLine="0"/>
              <w:rPr>
                <w:sz w:val="22"/>
                <w:szCs w:val="28"/>
              </w:rPr>
            </w:pPr>
            <w:r>
              <w:rPr>
                <w:spacing w:val="-1"/>
                <w:sz w:val="22"/>
                <w:szCs w:val="28"/>
              </w:rPr>
              <w:t>会场温度、灯光等效果</w:t>
            </w:r>
          </w:p>
        </w:tc>
        <w:tc>
          <w:tcPr>
            <w:tcW w:w="872" w:type="dxa"/>
            <w:tcBorders>
              <w:top w:val="single" w:color="000000" w:sz="4" w:space="0"/>
              <w:left w:val="single" w:color="000000" w:sz="4" w:space="0"/>
              <w:bottom w:val="single" w:color="000000" w:sz="4" w:space="0"/>
              <w:right w:val="nil"/>
            </w:tcBorders>
          </w:tcPr>
          <w:p>
            <w:pPr>
              <w:pStyle w:val="232"/>
              <w:numPr>
                <w:ilvl w:val="0"/>
                <w:numId w:val="57"/>
              </w:numPr>
              <w:tabs>
                <w:tab w:val="left" w:pos="291"/>
              </w:tabs>
              <w:spacing w:before="136" w:after="0" w:line="240" w:lineRule="auto"/>
              <w:ind w:left="291" w:right="0" w:hanging="180"/>
              <w:jc w:val="left"/>
              <w:rPr>
                <w:sz w:val="22"/>
                <w:szCs w:val="28"/>
              </w:rPr>
            </w:pPr>
            <w:r>
              <w:rPr>
                <w:spacing w:val="-5"/>
                <w:sz w:val="22"/>
                <w:szCs w:val="28"/>
              </w:rPr>
              <w:t>很好</w:t>
            </w:r>
          </w:p>
        </w:tc>
        <w:tc>
          <w:tcPr>
            <w:tcW w:w="989" w:type="dxa"/>
            <w:gridSpan w:val="2"/>
            <w:tcBorders>
              <w:top w:val="single" w:color="000000" w:sz="4" w:space="0"/>
              <w:left w:val="nil"/>
              <w:bottom w:val="single" w:color="000000" w:sz="4" w:space="0"/>
              <w:right w:val="nil"/>
            </w:tcBorders>
          </w:tcPr>
          <w:p>
            <w:pPr>
              <w:pStyle w:val="232"/>
              <w:numPr>
                <w:ilvl w:val="0"/>
                <w:numId w:val="58"/>
              </w:numPr>
              <w:tabs>
                <w:tab w:val="left" w:pos="416"/>
              </w:tabs>
              <w:spacing w:before="136" w:after="0" w:line="240" w:lineRule="auto"/>
              <w:ind w:left="416" w:right="0" w:hanging="180"/>
              <w:jc w:val="left"/>
              <w:rPr>
                <w:sz w:val="22"/>
                <w:szCs w:val="28"/>
              </w:rPr>
            </w:pPr>
            <w:r>
              <w:rPr>
                <w:spacing w:val="-5"/>
                <w:sz w:val="22"/>
                <w:szCs w:val="28"/>
              </w:rPr>
              <w:t>较好</w:t>
            </w:r>
          </w:p>
        </w:tc>
        <w:tc>
          <w:tcPr>
            <w:tcW w:w="989" w:type="dxa"/>
            <w:gridSpan w:val="2"/>
            <w:tcBorders>
              <w:top w:val="single" w:color="000000" w:sz="4" w:space="0"/>
              <w:left w:val="nil"/>
              <w:bottom w:val="single" w:color="000000" w:sz="4" w:space="0"/>
              <w:right w:val="nil"/>
            </w:tcBorders>
          </w:tcPr>
          <w:p>
            <w:pPr>
              <w:pStyle w:val="232"/>
              <w:numPr>
                <w:ilvl w:val="0"/>
                <w:numId w:val="59"/>
              </w:numPr>
              <w:tabs>
                <w:tab w:val="left" w:pos="416"/>
              </w:tabs>
              <w:spacing w:before="136" w:after="0" w:line="240" w:lineRule="auto"/>
              <w:ind w:left="416" w:right="0" w:hanging="180"/>
              <w:jc w:val="left"/>
              <w:rPr>
                <w:sz w:val="22"/>
                <w:szCs w:val="28"/>
              </w:rPr>
            </w:pPr>
            <w:r>
              <w:rPr>
                <w:spacing w:val="-5"/>
                <w:sz w:val="22"/>
                <w:szCs w:val="28"/>
              </w:rPr>
              <w:t>—般</w:t>
            </w:r>
          </w:p>
        </w:tc>
        <w:tc>
          <w:tcPr>
            <w:tcW w:w="2804" w:type="dxa"/>
            <w:gridSpan w:val="2"/>
            <w:tcBorders>
              <w:top w:val="single" w:color="000000" w:sz="4" w:space="0"/>
              <w:left w:val="nil"/>
              <w:bottom w:val="single" w:color="000000" w:sz="4" w:space="0"/>
            </w:tcBorders>
          </w:tcPr>
          <w:p>
            <w:pPr>
              <w:pStyle w:val="232"/>
              <w:numPr>
                <w:ilvl w:val="0"/>
                <w:numId w:val="60"/>
              </w:numPr>
              <w:tabs>
                <w:tab w:val="left" w:pos="418"/>
              </w:tabs>
              <w:spacing w:before="136" w:after="0" w:line="240" w:lineRule="auto"/>
              <w:ind w:left="418" w:right="0" w:hanging="180"/>
              <w:jc w:val="left"/>
              <w:rPr>
                <w:sz w:val="22"/>
                <w:szCs w:val="28"/>
              </w:rPr>
            </w:pPr>
            <w:r>
              <w:rPr>
                <w:spacing w:val="-5"/>
                <w:sz w:val="22"/>
                <w:szCs w:val="28"/>
              </w:rPr>
              <w:t>较差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3" w:hRule="atLeast"/>
        </w:trPr>
        <w:tc>
          <w:tcPr>
            <w:tcW w:w="9566" w:type="dxa"/>
            <w:gridSpan w:val="9"/>
            <w:tcBorders>
              <w:top w:val="single" w:color="000000" w:sz="4" w:space="0"/>
              <w:bottom w:val="single" w:color="000000" w:sz="4" w:space="0"/>
            </w:tcBorders>
          </w:tcPr>
          <w:p>
            <w:pPr>
              <w:pStyle w:val="232"/>
              <w:spacing w:before="137"/>
              <w:ind w:left="106" w:firstLine="0"/>
              <w:rPr>
                <w:sz w:val="22"/>
                <w:szCs w:val="28"/>
              </w:rPr>
            </w:pPr>
            <w:r>
              <w:rPr>
                <w:sz w:val="22"/>
                <w:szCs w:val="28"/>
              </w:rPr>
              <w:t>您对本次会务服务有何建议</w:t>
            </w:r>
            <w:r>
              <w:rPr>
                <w:rFonts w:hint="eastAsia"/>
                <w:sz w:val="22"/>
                <w:szCs w:val="28"/>
                <w:lang w:eastAsia="zh-CN"/>
              </w:rPr>
              <w:t>和</w:t>
            </w:r>
            <w:r>
              <w:rPr>
                <w:spacing w:val="-4"/>
                <w:sz w:val="22"/>
                <w:szCs w:val="28"/>
              </w:rPr>
              <w:t>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0" w:hRule="atLeast"/>
        </w:trPr>
        <w:tc>
          <w:tcPr>
            <w:tcW w:w="9566" w:type="dxa"/>
            <w:gridSpan w:val="9"/>
            <w:tcBorders>
              <w:top w:val="single" w:color="000000" w:sz="4" w:space="0"/>
            </w:tcBorders>
          </w:tcPr>
          <w:p>
            <w:pPr>
              <w:pStyle w:val="232"/>
              <w:ind w:left="106" w:firstLine="0"/>
              <w:rPr>
                <w:sz w:val="22"/>
                <w:szCs w:val="28"/>
              </w:rPr>
            </w:pPr>
            <w:r>
              <w:rPr>
                <w:spacing w:val="-4"/>
                <w:sz w:val="22"/>
                <w:szCs w:val="28"/>
              </w:rPr>
              <w:t>备注:</w:t>
            </w:r>
          </w:p>
        </w:tc>
      </w:tr>
    </w:tbl>
    <w:p>
      <w:pPr>
        <w:pStyle w:val="77"/>
        <w:shd w:val="clear" w:color="FFFFFF" w:fill="FFFFFF"/>
        <w:spacing w:after="156"/>
        <w:rPr>
          <w:rFonts w:hint="eastAsia"/>
          <w:lang w:val="en-US" w:eastAsia="zh-CN"/>
        </w:rPr>
      </w:pPr>
    </w:p>
    <w:p>
      <w:pPr>
        <w:autoSpaceDE w:val="0"/>
        <w:snapToGrid w:val="0"/>
        <w:spacing w:line="240" w:lineRule="auto"/>
        <w:jc w:val="center"/>
        <w:rPr>
          <w:spacing w:val="-5"/>
        </w:rPr>
      </w:pPr>
      <w:r>
        <w:rPr>
          <w:rFonts w:hint="eastAsia" w:ascii="黑体" w:hAnsi="黑体" w:eastAsia="黑体"/>
          <w:kern w:val="44"/>
        </w:rPr>
        <w:t>（资料性）</w:t>
      </w:r>
    </w:p>
    <w:p>
      <w:pPr>
        <w:pStyle w:val="14"/>
        <w:spacing w:before="2" w:after="1"/>
        <w:jc w:val="center"/>
        <w:rPr>
          <w:sz w:val="24"/>
          <w:szCs w:val="24"/>
        </w:rPr>
      </w:pPr>
      <w:r>
        <w:rPr>
          <w:rFonts w:hint="eastAsia" w:ascii="宋体" w:eastAsia="宋体"/>
          <w:sz w:val="24"/>
          <w:szCs w:val="24"/>
        </w:rPr>
        <w:t>会议服务意见反馈表</w:t>
      </w:r>
    </w:p>
    <w:tbl>
      <w:tblPr>
        <w:tblStyle w:val="27"/>
        <w:tblW w:w="9513" w:type="dxa"/>
        <w:tblInd w:w="-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31"/>
        <w:gridCol w:w="1650"/>
        <w:gridCol w:w="1361"/>
        <w:gridCol w:w="1845"/>
        <w:gridCol w:w="1279"/>
        <w:gridCol w:w="18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9513" w:type="dxa"/>
            <w:gridSpan w:val="6"/>
            <w:tcBorders>
              <w:bottom w:val="single" w:color="000000" w:sz="2" w:space="0"/>
            </w:tcBorders>
          </w:tcPr>
          <w:p>
            <w:pPr>
              <w:pStyle w:val="232"/>
              <w:tabs>
                <w:tab w:val="left" w:pos="520"/>
                <w:tab w:val="left" w:pos="1039"/>
              </w:tabs>
              <w:spacing w:before="102"/>
              <w:ind w:right="336"/>
              <w:jc w:val="left"/>
              <w:rPr>
                <w:rFonts w:hint="eastAsia" w:eastAsia="宋体"/>
                <w:spacing w:val="-10"/>
                <w:sz w:val="24"/>
                <w:szCs w:val="24"/>
                <w:lang w:eastAsia="zh-CN"/>
              </w:rPr>
            </w:pPr>
            <w:r>
              <w:rPr>
                <w:rFonts w:hint="eastAsia"/>
                <w:spacing w:val="-10"/>
                <w:sz w:val="24"/>
                <w:szCs w:val="24"/>
                <w:lang w:val="en-US" w:eastAsia="zh-CN"/>
              </w:rPr>
              <w:t xml:space="preserve">    </w:t>
            </w:r>
            <w:r>
              <w:rPr>
                <w:rFonts w:hint="eastAsia"/>
                <w:spacing w:val="-10"/>
                <w:sz w:val="24"/>
                <w:szCs w:val="24"/>
                <w:lang w:eastAsia="zh-CN"/>
              </w:rPr>
              <w:t>会议名称</w:t>
            </w:r>
          </w:p>
          <w:p>
            <w:pPr>
              <w:pStyle w:val="232"/>
              <w:tabs>
                <w:tab w:val="left" w:pos="520"/>
                <w:tab w:val="left" w:pos="1039"/>
              </w:tabs>
              <w:spacing w:before="102"/>
              <w:ind w:right="336"/>
              <w:jc w:val="right"/>
              <w:rPr>
                <w:sz w:val="24"/>
                <w:szCs w:val="24"/>
              </w:rPr>
            </w:pPr>
            <w:r>
              <w:rPr>
                <w:rFonts w:hint="eastAsia"/>
                <w:spacing w:val="-10"/>
                <w:sz w:val="24"/>
                <w:szCs w:val="24"/>
                <w:lang w:eastAsia="zh-CN"/>
              </w:rPr>
              <w:t>会议日期：</w:t>
            </w:r>
            <w:r>
              <w:rPr>
                <w:rFonts w:hint="eastAsia"/>
                <w:spacing w:val="-10"/>
                <w:sz w:val="24"/>
                <w:szCs w:val="24"/>
                <w:lang w:val="en-US" w:eastAsia="zh-CN"/>
              </w:rPr>
              <w:t xml:space="preserve">      </w:t>
            </w:r>
            <w:r>
              <w:rPr>
                <w:spacing w:val="-10"/>
                <w:sz w:val="24"/>
                <w:szCs w:val="24"/>
              </w:rPr>
              <w:t>年</w:t>
            </w:r>
            <w:r>
              <w:rPr>
                <w:sz w:val="24"/>
                <w:szCs w:val="24"/>
              </w:rPr>
              <w:tab/>
            </w:r>
            <w:r>
              <w:rPr>
                <w:rFonts w:hint="eastAsia"/>
                <w:sz w:val="24"/>
                <w:szCs w:val="24"/>
                <w:lang w:val="en-US" w:eastAsia="zh-CN"/>
              </w:rPr>
              <w:t xml:space="preserve">   </w:t>
            </w:r>
            <w:r>
              <w:rPr>
                <w:spacing w:val="-10"/>
                <w:sz w:val="24"/>
                <w:szCs w:val="24"/>
              </w:rPr>
              <w:t>月</w:t>
            </w:r>
            <w:r>
              <w:rPr>
                <w:sz w:val="24"/>
                <w:szCs w:val="24"/>
              </w:rPr>
              <w:tab/>
            </w:r>
            <w:r>
              <w:rPr>
                <w:spacing w:val="-10"/>
                <w:sz w:val="24"/>
                <w:szCs w:val="24"/>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4" w:hRule="atLeast"/>
        </w:trPr>
        <w:tc>
          <w:tcPr>
            <w:tcW w:w="1531" w:type="dxa"/>
            <w:tcBorders>
              <w:top w:val="single" w:color="000000" w:sz="2" w:space="0"/>
              <w:bottom w:val="single" w:color="000000" w:sz="2" w:space="0"/>
              <w:right w:val="single" w:color="000000" w:sz="2" w:space="0"/>
            </w:tcBorders>
          </w:tcPr>
          <w:p>
            <w:pPr>
              <w:pStyle w:val="232"/>
              <w:spacing w:before="233"/>
              <w:rPr>
                <w:rFonts w:hint="eastAsia" w:eastAsia="宋体"/>
                <w:sz w:val="24"/>
                <w:szCs w:val="24"/>
                <w:lang w:eastAsia="zh-CN"/>
              </w:rPr>
            </w:pP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会议主办部门</w:t>
            </w:r>
          </w:p>
        </w:tc>
        <w:tc>
          <w:tcPr>
            <w:tcW w:w="1650" w:type="dxa"/>
            <w:tcBorders>
              <w:top w:val="single" w:color="000000" w:sz="2" w:space="0"/>
              <w:left w:val="single" w:color="000000" w:sz="2" w:space="0"/>
              <w:bottom w:val="single" w:color="000000" w:sz="2" w:space="0"/>
              <w:right w:val="single" w:color="000000" w:sz="2" w:space="0"/>
            </w:tcBorders>
          </w:tcPr>
          <w:p>
            <w:pPr>
              <w:pStyle w:val="232"/>
              <w:rPr>
                <w:rFonts w:ascii="Times New Roman"/>
                <w:sz w:val="24"/>
                <w:szCs w:val="24"/>
              </w:rPr>
            </w:pPr>
          </w:p>
        </w:tc>
        <w:tc>
          <w:tcPr>
            <w:tcW w:w="1361" w:type="dxa"/>
            <w:tcBorders>
              <w:top w:val="single" w:color="000000" w:sz="2" w:space="0"/>
              <w:left w:val="single" w:color="000000" w:sz="2" w:space="0"/>
              <w:bottom w:val="single" w:color="000000" w:sz="2" w:space="0"/>
              <w:right w:val="single" w:color="000000" w:sz="2" w:space="0"/>
            </w:tcBorders>
          </w:tcPr>
          <w:p>
            <w:pPr>
              <w:pStyle w:val="232"/>
              <w:spacing w:before="233"/>
              <w:ind w:left="381"/>
              <w:rPr>
                <w:sz w:val="24"/>
                <w:szCs w:val="24"/>
              </w:rPr>
            </w:pPr>
            <w:r>
              <w:rPr>
                <w:spacing w:val="-7"/>
                <w:sz w:val="24"/>
                <w:szCs w:val="24"/>
              </w:rPr>
              <w:t>联系人</w:t>
            </w:r>
          </w:p>
        </w:tc>
        <w:tc>
          <w:tcPr>
            <w:tcW w:w="1845" w:type="dxa"/>
            <w:tcBorders>
              <w:top w:val="single" w:color="000000" w:sz="2" w:space="0"/>
              <w:left w:val="single" w:color="000000" w:sz="2" w:space="0"/>
              <w:bottom w:val="single" w:color="000000" w:sz="2" w:space="0"/>
              <w:right w:val="single" w:color="000000" w:sz="2" w:space="0"/>
            </w:tcBorders>
          </w:tcPr>
          <w:p>
            <w:pPr>
              <w:pStyle w:val="232"/>
              <w:rPr>
                <w:rFonts w:ascii="Times New Roman"/>
                <w:sz w:val="24"/>
                <w:szCs w:val="24"/>
              </w:rPr>
            </w:pPr>
          </w:p>
        </w:tc>
        <w:tc>
          <w:tcPr>
            <w:tcW w:w="1279" w:type="dxa"/>
            <w:tcBorders>
              <w:top w:val="single" w:color="000000" w:sz="2" w:space="0"/>
              <w:left w:val="single" w:color="000000" w:sz="2" w:space="0"/>
              <w:bottom w:val="single" w:color="000000" w:sz="2" w:space="0"/>
              <w:right w:val="single" w:color="000000" w:sz="2" w:space="0"/>
            </w:tcBorders>
          </w:tcPr>
          <w:p>
            <w:pPr>
              <w:pStyle w:val="232"/>
              <w:spacing w:before="233"/>
              <w:ind w:left="300"/>
              <w:rPr>
                <w:sz w:val="24"/>
                <w:szCs w:val="24"/>
              </w:rPr>
            </w:pPr>
            <w:r>
              <w:rPr>
                <w:spacing w:val="-8"/>
                <w:sz w:val="24"/>
                <w:szCs w:val="24"/>
              </w:rPr>
              <w:t>联系电话</w:t>
            </w:r>
          </w:p>
        </w:tc>
        <w:tc>
          <w:tcPr>
            <w:tcW w:w="1847" w:type="dxa"/>
            <w:tcBorders>
              <w:top w:val="single" w:color="000000" w:sz="2" w:space="0"/>
              <w:left w:val="single" w:color="000000" w:sz="2" w:space="0"/>
              <w:bottom w:val="single" w:color="000000" w:sz="2" w:space="0"/>
            </w:tcBorders>
          </w:tcPr>
          <w:p>
            <w:pPr>
              <w:pStyle w:val="232"/>
              <w:rPr>
                <w:rFonts w:ascii="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2" w:hRule="atLeast"/>
        </w:trPr>
        <w:tc>
          <w:tcPr>
            <w:tcW w:w="1531" w:type="dxa"/>
            <w:vMerge w:val="restart"/>
            <w:tcBorders>
              <w:top w:val="single" w:color="000000" w:sz="2" w:space="0"/>
              <w:bottom w:val="single" w:color="000000" w:sz="2" w:space="0"/>
              <w:right w:val="single" w:color="000000" w:sz="2" w:space="0"/>
            </w:tcBorders>
          </w:tcPr>
          <w:p>
            <w:pPr>
              <w:pStyle w:val="232"/>
              <w:ind w:left="0" w:leftChars="0" w:firstLine="0" w:firstLineChars="0"/>
              <w:rPr>
                <w:rFonts w:ascii="黑体"/>
                <w:sz w:val="24"/>
                <w:szCs w:val="24"/>
              </w:rPr>
            </w:pPr>
          </w:p>
          <w:p>
            <w:pPr>
              <w:pStyle w:val="232"/>
              <w:rPr>
                <w:rFonts w:ascii="黑体"/>
                <w:sz w:val="24"/>
                <w:szCs w:val="24"/>
              </w:rPr>
            </w:pPr>
          </w:p>
          <w:p>
            <w:pPr>
              <w:pStyle w:val="232"/>
              <w:rPr>
                <w:rFonts w:ascii="黑体"/>
                <w:sz w:val="24"/>
                <w:szCs w:val="24"/>
              </w:rPr>
            </w:pPr>
          </w:p>
          <w:p>
            <w:pPr>
              <w:pStyle w:val="232"/>
              <w:spacing w:before="12"/>
              <w:rPr>
                <w:rFonts w:ascii="黑体"/>
                <w:sz w:val="24"/>
                <w:szCs w:val="24"/>
              </w:rPr>
            </w:pPr>
          </w:p>
          <w:p>
            <w:pPr>
              <w:pStyle w:val="232"/>
              <w:spacing w:before="1"/>
              <w:ind w:left="290"/>
              <w:rPr>
                <w:sz w:val="24"/>
                <w:szCs w:val="24"/>
              </w:rPr>
            </w:pPr>
            <w:r>
              <w:rPr>
                <w:spacing w:val="-8"/>
                <w:sz w:val="24"/>
                <w:szCs w:val="24"/>
              </w:rPr>
              <w:t>调查内容</w:t>
            </w:r>
          </w:p>
        </w:tc>
        <w:tc>
          <w:tcPr>
            <w:tcW w:w="1650" w:type="dxa"/>
            <w:tcBorders>
              <w:top w:val="single" w:color="000000" w:sz="2" w:space="0"/>
              <w:left w:val="single" w:color="000000" w:sz="2" w:space="0"/>
              <w:bottom w:val="single" w:color="000000" w:sz="2" w:space="0"/>
              <w:right w:val="single" w:color="000000" w:sz="2" w:space="0"/>
            </w:tcBorders>
          </w:tcPr>
          <w:p>
            <w:pPr>
              <w:pStyle w:val="232"/>
              <w:keepNext w:val="0"/>
              <w:keepLines w:val="0"/>
              <w:pageBreakBefore w:val="0"/>
              <w:widowControl w:val="0"/>
              <w:kinsoku/>
              <w:wordWrap/>
              <w:overflowPunct/>
              <w:topLinePunct w:val="0"/>
              <w:autoSpaceDE/>
              <w:autoSpaceDN/>
              <w:bidi w:val="0"/>
              <w:adjustRightInd w:val="0"/>
              <w:snapToGrid/>
              <w:spacing w:before="17" w:line="240" w:lineRule="atLeast"/>
              <w:ind w:hanging="181"/>
              <w:textAlignment w:val="auto"/>
              <w:rPr>
                <w:rFonts w:ascii="黑体"/>
                <w:sz w:val="24"/>
                <w:szCs w:val="24"/>
              </w:rPr>
            </w:pPr>
          </w:p>
          <w:p>
            <w:pPr>
              <w:pStyle w:val="232"/>
              <w:keepNext w:val="0"/>
              <w:keepLines w:val="0"/>
              <w:pageBreakBefore w:val="0"/>
              <w:widowControl w:val="0"/>
              <w:kinsoku/>
              <w:wordWrap/>
              <w:overflowPunct/>
              <w:topLinePunct w:val="0"/>
              <w:autoSpaceDE/>
              <w:autoSpaceDN/>
              <w:bidi w:val="0"/>
              <w:adjustRightInd w:val="0"/>
              <w:snapToGrid/>
              <w:spacing w:line="240" w:lineRule="atLeast"/>
              <w:ind w:left="22" w:hanging="181"/>
              <w:jc w:val="center"/>
              <w:textAlignment w:val="auto"/>
              <w:rPr>
                <w:rFonts w:hint="eastAsia" w:eastAsia="宋体"/>
                <w:sz w:val="24"/>
                <w:szCs w:val="24"/>
                <w:lang w:eastAsia="zh-CN"/>
              </w:rPr>
            </w:pPr>
            <w:r>
              <w:rPr>
                <w:spacing w:val="-7"/>
                <w:sz w:val="24"/>
                <w:szCs w:val="24"/>
              </w:rPr>
              <w:t>会议服务</w:t>
            </w:r>
            <w:r>
              <w:rPr>
                <w:rFonts w:hint="eastAsia"/>
                <w:spacing w:val="-7"/>
                <w:sz w:val="24"/>
                <w:szCs w:val="24"/>
                <w:lang w:eastAsia="zh-CN"/>
              </w:rPr>
              <w:t>态度</w:t>
            </w:r>
          </w:p>
        </w:tc>
        <w:tc>
          <w:tcPr>
            <w:tcW w:w="6332" w:type="dxa"/>
            <w:gridSpan w:val="4"/>
            <w:tcBorders>
              <w:top w:val="single" w:color="000000" w:sz="2" w:space="0"/>
              <w:left w:val="single" w:color="000000" w:sz="2" w:space="0"/>
              <w:bottom w:val="single" w:color="000000" w:sz="2" w:space="0"/>
            </w:tcBorders>
          </w:tcPr>
          <w:p>
            <w:pPr>
              <w:pStyle w:val="232"/>
              <w:spacing w:before="17"/>
              <w:rPr>
                <w:rFonts w:ascii="黑体"/>
                <w:sz w:val="24"/>
                <w:szCs w:val="24"/>
              </w:rPr>
            </w:pPr>
          </w:p>
          <w:p>
            <w:pPr>
              <w:pStyle w:val="232"/>
              <w:numPr>
                <w:ilvl w:val="0"/>
                <w:numId w:val="61"/>
              </w:numPr>
              <w:tabs>
                <w:tab w:val="left" w:pos="1643"/>
                <w:tab w:val="left" w:pos="2340"/>
                <w:tab w:val="left" w:pos="3211"/>
                <w:tab w:val="left" w:pos="4082"/>
              </w:tabs>
              <w:spacing w:before="0" w:after="0" w:line="240" w:lineRule="auto"/>
              <w:ind w:left="1643" w:right="0" w:hanging="177"/>
              <w:jc w:val="left"/>
              <w:rPr>
                <w:sz w:val="24"/>
                <w:szCs w:val="24"/>
              </w:rPr>
            </w:pPr>
            <w:r>
              <w:rPr>
                <w:spacing w:val="-5"/>
                <w:sz w:val="24"/>
                <w:szCs w:val="24"/>
              </w:rPr>
              <w:t>满</w:t>
            </w:r>
            <w:r>
              <w:rPr>
                <w:spacing w:val="-10"/>
                <w:sz w:val="24"/>
                <w:szCs w:val="24"/>
              </w:rPr>
              <w:t>意</w:t>
            </w:r>
            <w:r>
              <w:rPr>
                <w:sz w:val="24"/>
                <w:szCs w:val="24"/>
              </w:rPr>
              <w:tab/>
            </w:r>
            <w:r>
              <w:rPr>
                <w:spacing w:val="-6"/>
                <w:sz w:val="24"/>
                <w:szCs w:val="24"/>
              </w:rPr>
              <w:t>☐较</w:t>
            </w:r>
            <w:r>
              <w:rPr>
                <w:spacing w:val="-10"/>
                <w:sz w:val="24"/>
                <w:szCs w:val="24"/>
              </w:rPr>
              <w:t>好</w:t>
            </w:r>
            <w:r>
              <w:rPr>
                <w:sz w:val="24"/>
                <w:szCs w:val="24"/>
              </w:rPr>
              <w:tab/>
            </w:r>
            <w:r>
              <w:rPr>
                <w:spacing w:val="-5"/>
                <w:sz w:val="24"/>
                <w:szCs w:val="24"/>
              </w:rPr>
              <w:t>☐—</w:t>
            </w:r>
            <w:r>
              <w:rPr>
                <w:spacing w:val="-10"/>
                <w:sz w:val="24"/>
                <w:szCs w:val="24"/>
              </w:rPr>
              <w:t>般</w:t>
            </w:r>
            <w:r>
              <w:rPr>
                <w:sz w:val="24"/>
                <w:szCs w:val="24"/>
              </w:rPr>
              <w:tab/>
            </w:r>
            <w:r>
              <w:rPr>
                <w:spacing w:val="-4"/>
                <w:sz w:val="24"/>
                <w:szCs w:val="24"/>
              </w:rPr>
              <w:t>☐不满</w:t>
            </w:r>
            <w:r>
              <w:rPr>
                <w:spacing w:val="-10"/>
                <w:sz w:val="24"/>
                <w:szCs w:val="24"/>
              </w:rPr>
              <w:t>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2" w:hRule="atLeast"/>
        </w:trPr>
        <w:tc>
          <w:tcPr>
            <w:tcW w:w="1531" w:type="dxa"/>
            <w:vMerge w:val="continue"/>
            <w:tcBorders>
              <w:top w:val="nil"/>
              <w:bottom w:val="single" w:color="000000" w:sz="2" w:space="0"/>
              <w:right w:val="single" w:color="000000" w:sz="2" w:space="0"/>
            </w:tcBorders>
          </w:tcPr>
          <w:p>
            <w:pPr>
              <w:rPr>
                <w:sz w:val="24"/>
                <w:szCs w:val="24"/>
              </w:rPr>
            </w:pPr>
          </w:p>
        </w:tc>
        <w:tc>
          <w:tcPr>
            <w:tcW w:w="1650" w:type="dxa"/>
            <w:tcBorders>
              <w:top w:val="single" w:color="000000" w:sz="2" w:space="0"/>
              <w:left w:val="single" w:color="000000" w:sz="2" w:space="0"/>
              <w:bottom w:val="single" w:color="000000" w:sz="2" w:space="0"/>
              <w:right w:val="single" w:color="000000" w:sz="2" w:space="0"/>
            </w:tcBorders>
          </w:tcPr>
          <w:p>
            <w:pPr>
              <w:pStyle w:val="232"/>
              <w:keepNext w:val="0"/>
              <w:keepLines w:val="0"/>
              <w:pageBreakBefore w:val="0"/>
              <w:widowControl w:val="0"/>
              <w:kinsoku/>
              <w:wordWrap/>
              <w:overflowPunct/>
              <w:topLinePunct w:val="0"/>
              <w:autoSpaceDE/>
              <w:autoSpaceDN/>
              <w:bidi w:val="0"/>
              <w:adjustRightInd w:val="0"/>
              <w:snapToGrid/>
              <w:spacing w:before="16" w:line="240" w:lineRule="atLeast"/>
              <w:ind w:hanging="181"/>
              <w:textAlignment w:val="auto"/>
              <w:rPr>
                <w:rFonts w:ascii="黑体"/>
                <w:sz w:val="24"/>
                <w:szCs w:val="24"/>
              </w:rPr>
            </w:pPr>
          </w:p>
          <w:p>
            <w:pPr>
              <w:pStyle w:val="232"/>
              <w:keepNext w:val="0"/>
              <w:keepLines w:val="0"/>
              <w:pageBreakBefore w:val="0"/>
              <w:widowControl w:val="0"/>
              <w:kinsoku/>
              <w:wordWrap/>
              <w:overflowPunct/>
              <w:topLinePunct w:val="0"/>
              <w:autoSpaceDE/>
              <w:autoSpaceDN/>
              <w:bidi w:val="0"/>
              <w:adjustRightInd w:val="0"/>
              <w:snapToGrid/>
              <w:spacing w:line="240" w:lineRule="atLeast"/>
              <w:ind w:left="22" w:hanging="181"/>
              <w:jc w:val="center"/>
              <w:textAlignment w:val="auto"/>
              <w:rPr>
                <w:sz w:val="24"/>
                <w:szCs w:val="24"/>
              </w:rPr>
            </w:pPr>
            <w:r>
              <w:rPr>
                <w:spacing w:val="-7"/>
                <w:sz w:val="24"/>
                <w:szCs w:val="24"/>
              </w:rPr>
              <w:t>会议服务质量</w:t>
            </w:r>
          </w:p>
        </w:tc>
        <w:tc>
          <w:tcPr>
            <w:tcW w:w="6332" w:type="dxa"/>
            <w:gridSpan w:val="4"/>
            <w:tcBorders>
              <w:top w:val="single" w:color="000000" w:sz="2" w:space="0"/>
              <w:left w:val="single" w:color="000000" w:sz="2" w:space="0"/>
              <w:bottom w:val="single" w:color="000000" w:sz="2" w:space="0"/>
            </w:tcBorders>
          </w:tcPr>
          <w:p>
            <w:pPr>
              <w:pStyle w:val="232"/>
              <w:spacing w:before="16"/>
              <w:rPr>
                <w:rFonts w:ascii="黑体"/>
                <w:sz w:val="24"/>
                <w:szCs w:val="24"/>
              </w:rPr>
            </w:pPr>
          </w:p>
          <w:p>
            <w:pPr>
              <w:pStyle w:val="232"/>
              <w:numPr>
                <w:ilvl w:val="0"/>
                <w:numId w:val="62"/>
              </w:numPr>
              <w:tabs>
                <w:tab w:val="left" w:pos="1643"/>
                <w:tab w:val="left" w:pos="2340"/>
                <w:tab w:val="left" w:pos="3211"/>
                <w:tab w:val="left" w:pos="4082"/>
              </w:tabs>
              <w:spacing w:before="0" w:after="0" w:line="240" w:lineRule="auto"/>
              <w:ind w:left="1643" w:right="0" w:hanging="177"/>
              <w:jc w:val="left"/>
              <w:rPr>
                <w:sz w:val="24"/>
                <w:szCs w:val="24"/>
              </w:rPr>
            </w:pPr>
            <w:r>
              <w:rPr>
                <w:spacing w:val="-5"/>
                <w:sz w:val="24"/>
                <w:szCs w:val="24"/>
              </w:rPr>
              <w:t>满</w:t>
            </w:r>
            <w:r>
              <w:rPr>
                <w:spacing w:val="-10"/>
                <w:sz w:val="24"/>
                <w:szCs w:val="24"/>
              </w:rPr>
              <w:t>意</w:t>
            </w:r>
            <w:r>
              <w:rPr>
                <w:sz w:val="24"/>
                <w:szCs w:val="24"/>
              </w:rPr>
              <w:tab/>
            </w:r>
            <w:r>
              <w:rPr>
                <w:spacing w:val="-6"/>
                <w:sz w:val="24"/>
                <w:szCs w:val="24"/>
              </w:rPr>
              <w:t>☐较</w:t>
            </w:r>
            <w:r>
              <w:rPr>
                <w:spacing w:val="-10"/>
                <w:sz w:val="24"/>
                <w:szCs w:val="24"/>
              </w:rPr>
              <w:t>好</w:t>
            </w:r>
            <w:r>
              <w:rPr>
                <w:sz w:val="24"/>
                <w:szCs w:val="24"/>
              </w:rPr>
              <w:tab/>
            </w:r>
            <w:r>
              <w:rPr>
                <w:spacing w:val="-5"/>
                <w:sz w:val="24"/>
                <w:szCs w:val="24"/>
              </w:rPr>
              <w:t>☐—</w:t>
            </w:r>
            <w:r>
              <w:rPr>
                <w:spacing w:val="-10"/>
                <w:sz w:val="24"/>
                <w:szCs w:val="24"/>
              </w:rPr>
              <w:t>般</w:t>
            </w:r>
            <w:r>
              <w:rPr>
                <w:sz w:val="24"/>
                <w:szCs w:val="24"/>
              </w:rPr>
              <w:tab/>
            </w:r>
            <w:r>
              <w:rPr>
                <w:spacing w:val="-4"/>
                <w:sz w:val="24"/>
                <w:szCs w:val="24"/>
              </w:rPr>
              <w:t>☐不满</w:t>
            </w:r>
            <w:r>
              <w:rPr>
                <w:spacing w:val="-10"/>
                <w:sz w:val="24"/>
                <w:szCs w:val="24"/>
              </w:rPr>
              <w:t>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1" w:hRule="atLeast"/>
        </w:trPr>
        <w:tc>
          <w:tcPr>
            <w:tcW w:w="1531" w:type="dxa"/>
            <w:vMerge w:val="continue"/>
            <w:tcBorders>
              <w:top w:val="nil"/>
              <w:bottom w:val="single" w:color="000000" w:sz="2" w:space="0"/>
              <w:right w:val="single" w:color="000000" w:sz="2" w:space="0"/>
            </w:tcBorders>
          </w:tcPr>
          <w:p>
            <w:pPr>
              <w:rPr>
                <w:sz w:val="24"/>
                <w:szCs w:val="24"/>
              </w:rPr>
            </w:pPr>
          </w:p>
        </w:tc>
        <w:tc>
          <w:tcPr>
            <w:tcW w:w="1650" w:type="dxa"/>
            <w:tcBorders>
              <w:top w:val="single" w:color="000000" w:sz="2" w:space="0"/>
              <w:left w:val="single" w:color="000000" w:sz="2" w:space="0"/>
              <w:bottom w:val="single" w:color="000000" w:sz="2" w:space="0"/>
              <w:right w:val="single" w:color="000000" w:sz="2" w:space="0"/>
            </w:tcBorders>
          </w:tcPr>
          <w:p>
            <w:pPr>
              <w:pStyle w:val="232"/>
              <w:keepNext w:val="0"/>
              <w:keepLines w:val="0"/>
              <w:pageBreakBefore w:val="0"/>
              <w:widowControl w:val="0"/>
              <w:kinsoku/>
              <w:wordWrap/>
              <w:overflowPunct/>
              <w:topLinePunct w:val="0"/>
              <w:autoSpaceDE/>
              <w:autoSpaceDN/>
              <w:bidi w:val="0"/>
              <w:adjustRightInd w:val="0"/>
              <w:snapToGrid/>
              <w:spacing w:before="16" w:line="240" w:lineRule="atLeast"/>
              <w:ind w:hanging="181"/>
              <w:textAlignment w:val="auto"/>
              <w:rPr>
                <w:rFonts w:ascii="黑体"/>
                <w:sz w:val="24"/>
                <w:szCs w:val="24"/>
              </w:rPr>
            </w:pPr>
          </w:p>
          <w:p>
            <w:pPr>
              <w:pStyle w:val="232"/>
              <w:keepNext w:val="0"/>
              <w:keepLines w:val="0"/>
              <w:pageBreakBefore w:val="0"/>
              <w:widowControl w:val="0"/>
              <w:kinsoku/>
              <w:wordWrap/>
              <w:overflowPunct/>
              <w:topLinePunct w:val="0"/>
              <w:autoSpaceDE/>
              <w:autoSpaceDN/>
              <w:bidi w:val="0"/>
              <w:adjustRightInd w:val="0"/>
              <w:snapToGrid/>
              <w:spacing w:line="240" w:lineRule="atLeast"/>
              <w:ind w:left="22" w:hanging="181"/>
              <w:jc w:val="center"/>
              <w:textAlignment w:val="auto"/>
              <w:rPr>
                <w:rFonts w:hint="eastAsia" w:eastAsia="宋体"/>
                <w:sz w:val="24"/>
                <w:szCs w:val="24"/>
                <w:lang w:eastAsia="zh-CN"/>
              </w:rPr>
            </w:pPr>
            <w:r>
              <w:rPr>
                <w:spacing w:val="-6"/>
                <w:sz w:val="24"/>
                <w:szCs w:val="24"/>
              </w:rPr>
              <w:t>会场环境</w:t>
            </w:r>
            <w:r>
              <w:rPr>
                <w:rFonts w:hint="eastAsia"/>
                <w:spacing w:val="-6"/>
                <w:sz w:val="24"/>
                <w:szCs w:val="24"/>
                <w:lang w:eastAsia="zh-CN"/>
              </w:rPr>
              <w:t>卫生</w:t>
            </w:r>
          </w:p>
        </w:tc>
        <w:tc>
          <w:tcPr>
            <w:tcW w:w="6332" w:type="dxa"/>
            <w:gridSpan w:val="4"/>
            <w:tcBorders>
              <w:top w:val="single" w:color="000000" w:sz="2" w:space="0"/>
              <w:left w:val="single" w:color="000000" w:sz="2" w:space="0"/>
              <w:bottom w:val="single" w:color="000000" w:sz="2" w:space="0"/>
            </w:tcBorders>
          </w:tcPr>
          <w:p>
            <w:pPr>
              <w:pStyle w:val="232"/>
              <w:spacing w:before="16"/>
              <w:rPr>
                <w:rFonts w:ascii="黑体"/>
                <w:sz w:val="24"/>
                <w:szCs w:val="24"/>
              </w:rPr>
            </w:pPr>
          </w:p>
          <w:p>
            <w:pPr>
              <w:pStyle w:val="232"/>
              <w:numPr>
                <w:ilvl w:val="0"/>
                <w:numId w:val="63"/>
              </w:numPr>
              <w:tabs>
                <w:tab w:val="left" w:pos="1643"/>
                <w:tab w:val="left" w:pos="2340"/>
                <w:tab w:val="left" w:pos="3211"/>
                <w:tab w:val="left" w:pos="4082"/>
              </w:tabs>
              <w:spacing w:before="0" w:after="0" w:line="240" w:lineRule="auto"/>
              <w:ind w:left="1643" w:right="0" w:hanging="177"/>
              <w:jc w:val="left"/>
              <w:rPr>
                <w:sz w:val="24"/>
                <w:szCs w:val="24"/>
              </w:rPr>
            </w:pPr>
            <w:r>
              <w:rPr>
                <w:spacing w:val="-5"/>
                <w:sz w:val="24"/>
                <w:szCs w:val="24"/>
              </w:rPr>
              <w:t>满</w:t>
            </w:r>
            <w:r>
              <w:rPr>
                <w:spacing w:val="-10"/>
                <w:sz w:val="24"/>
                <w:szCs w:val="24"/>
              </w:rPr>
              <w:t>意</w:t>
            </w:r>
            <w:r>
              <w:rPr>
                <w:sz w:val="24"/>
                <w:szCs w:val="24"/>
              </w:rPr>
              <w:tab/>
            </w:r>
            <w:r>
              <w:rPr>
                <w:spacing w:val="-6"/>
                <w:sz w:val="24"/>
                <w:szCs w:val="24"/>
              </w:rPr>
              <w:t>☐较</w:t>
            </w:r>
            <w:r>
              <w:rPr>
                <w:spacing w:val="-10"/>
                <w:sz w:val="24"/>
                <w:szCs w:val="24"/>
              </w:rPr>
              <w:t>好</w:t>
            </w:r>
            <w:r>
              <w:rPr>
                <w:sz w:val="24"/>
                <w:szCs w:val="24"/>
              </w:rPr>
              <w:tab/>
            </w:r>
            <w:r>
              <w:rPr>
                <w:spacing w:val="-5"/>
                <w:sz w:val="24"/>
                <w:szCs w:val="24"/>
              </w:rPr>
              <w:t>☐—</w:t>
            </w:r>
            <w:r>
              <w:rPr>
                <w:spacing w:val="-10"/>
                <w:sz w:val="24"/>
                <w:szCs w:val="24"/>
              </w:rPr>
              <w:t>般</w:t>
            </w:r>
            <w:r>
              <w:rPr>
                <w:sz w:val="24"/>
                <w:szCs w:val="24"/>
              </w:rPr>
              <w:tab/>
            </w:r>
            <w:r>
              <w:rPr>
                <w:spacing w:val="-4"/>
                <w:sz w:val="24"/>
                <w:szCs w:val="24"/>
              </w:rPr>
              <w:t>☐不满</w:t>
            </w:r>
            <w:r>
              <w:rPr>
                <w:spacing w:val="-10"/>
                <w:sz w:val="24"/>
                <w:szCs w:val="24"/>
              </w:rPr>
              <w:t>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2" w:hRule="atLeast"/>
        </w:trPr>
        <w:tc>
          <w:tcPr>
            <w:tcW w:w="1531" w:type="dxa"/>
            <w:vMerge w:val="continue"/>
            <w:tcBorders>
              <w:top w:val="nil"/>
              <w:bottom w:val="single" w:color="000000" w:sz="2" w:space="0"/>
              <w:right w:val="single" w:color="000000" w:sz="2" w:space="0"/>
            </w:tcBorders>
          </w:tcPr>
          <w:p>
            <w:pPr>
              <w:rPr>
                <w:sz w:val="24"/>
                <w:szCs w:val="24"/>
              </w:rPr>
            </w:pPr>
          </w:p>
        </w:tc>
        <w:tc>
          <w:tcPr>
            <w:tcW w:w="1650" w:type="dxa"/>
            <w:tcBorders>
              <w:top w:val="single" w:color="000000" w:sz="2" w:space="0"/>
              <w:left w:val="single" w:color="000000" w:sz="2" w:space="0"/>
              <w:bottom w:val="single" w:color="000000" w:sz="2" w:space="0"/>
              <w:right w:val="single" w:color="000000" w:sz="2" w:space="0"/>
            </w:tcBorders>
          </w:tcPr>
          <w:p>
            <w:pPr>
              <w:pStyle w:val="232"/>
              <w:keepNext w:val="0"/>
              <w:keepLines w:val="0"/>
              <w:pageBreakBefore w:val="0"/>
              <w:widowControl w:val="0"/>
              <w:kinsoku/>
              <w:wordWrap/>
              <w:overflowPunct/>
              <w:topLinePunct w:val="0"/>
              <w:autoSpaceDE/>
              <w:autoSpaceDN/>
              <w:bidi w:val="0"/>
              <w:adjustRightInd w:val="0"/>
              <w:snapToGrid/>
              <w:spacing w:before="16" w:line="240" w:lineRule="atLeast"/>
              <w:ind w:hanging="181"/>
              <w:textAlignment w:val="auto"/>
              <w:rPr>
                <w:rFonts w:ascii="黑体"/>
                <w:sz w:val="24"/>
                <w:szCs w:val="24"/>
              </w:rPr>
            </w:pPr>
          </w:p>
          <w:p>
            <w:pPr>
              <w:pStyle w:val="232"/>
              <w:keepNext w:val="0"/>
              <w:keepLines w:val="0"/>
              <w:pageBreakBefore w:val="0"/>
              <w:widowControl w:val="0"/>
              <w:kinsoku/>
              <w:wordWrap/>
              <w:overflowPunct/>
              <w:topLinePunct w:val="0"/>
              <w:autoSpaceDE/>
              <w:autoSpaceDN/>
              <w:bidi w:val="0"/>
              <w:adjustRightInd w:val="0"/>
              <w:snapToGrid/>
              <w:spacing w:line="240" w:lineRule="atLeast"/>
              <w:ind w:left="22" w:hanging="181"/>
              <w:jc w:val="center"/>
              <w:textAlignment w:val="auto"/>
              <w:rPr>
                <w:sz w:val="24"/>
                <w:szCs w:val="24"/>
              </w:rPr>
            </w:pPr>
            <w:r>
              <w:rPr>
                <w:spacing w:val="-7"/>
                <w:sz w:val="24"/>
                <w:szCs w:val="24"/>
              </w:rPr>
              <w:t>会场音响效果</w:t>
            </w:r>
          </w:p>
        </w:tc>
        <w:tc>
          <w:tcPr>
            <w:tcW w:w="6332" w:type="dxa"/>
            <w:gridSpan w:val="4"/>
            <w:tcBorders>
              <w:top w:val="single" w:color="000000" w:sz="2" w:space="0"/>
              <w:left w:val="single" w:color="000000" w:sz="2" w:space="0"/>
              <w:bottom w:val="single" w:color="000000" w:sz="2" w:space="0"/>
            </w:tcBorders>
          </w:tcPr>
          <w:p>
            <w:pPr>
              <w:pStyle w:val="232"/>
              <w:spacing w:before="16"/>
              <w:rPr>
                <w:rFonts w:ascii="黑体"/>
                <w:sz w:val="24"/>
                <w:szCs w:val="24"/>
              </w:rPr>
            </w:pPr>
          </w:p>
          <w:p>
            <w:pPr>
              <w:pStyle w:val="232"/>
              <w:numPr>
                <w:ilvl w:val="0"/>
                <w:numId w:val="64"/>
              </w:numPr>
              <w:tabs>
                <w:tab w:val="left" w:pos="1643"/>
                <w:tab w:val="left" w:pos="2340"/>
                <w:tab w:val="left" w:pos="3211"/>
                <w:tab w:val="left" w:pos="4082"/>
              </w:tabs>
              <w:spacing w:before="0" w:after="0" w:line="240" w:lineRule="auto"/>
              <w:ind w:left="1643" w:right="0" w:hanging="177"/>
              <w:jc w:val="left"/>
              <w:rPr>
                <w:sz w:val="24"/>
                <w:szCs w:val="24"/>
              </w:rPr>
            </w:pPr>
            <w:r>
              <w:rPr>
                <w:spacing w:val="-5"/>
                <w:sz w:val="24"/>
                <w:szCs w:val="24"/>
              </w:rPr>
              <w:t>满</w:t>
            </w:r>
            <w:r>
              <w:rPr>
                <w:spacing w:val="-10"/>
                <w:sz w:val="24"/>
                <w:szCs w:val="24"/>
              </w:rPr>
              <w:t>意</w:t>
            </w:r>
            <w:r>
              <w:rPr>
                <w:sz w:val="24"/>
                <w:szCs w:val="24"/>
              </w:rPr>
              <w:tab/>
            </w:r>
            <w:r>
              <w:rPr>
                <w:spacing w:val="-6"/>
                <w:sz w:val="24"/>
                <w:szCs w:val="24"/>
              </w:rPr>
              <w:t>☐较</w:t>
            </w:r>
            <w:r>
              <w:rPr>
                <w:spacing w:val="-10"/>
                <w:sz w:val="24"/>
                <w:szCs w:val="24"/>
              </w:rPr>
              <w:t>好</w:t>
            </w:r>
            <w:r>
              <w:rPr>
                <w:sz w:val="24"/>
                <w:szCs w:val="24"/>
              </w:rPr>
              <w:tab/>
            </w:r>
            <w:r>
              <w:rPr>
                <w:spacing w:val="-5"/>
                <w:sz w:val="24"/>
                <w:szCs w:val="24"/>
              </w:rPr>
              <w:t>☐—</w:t>
            </w:r>
            <w:r>
              <w:rPr>
                <w:spacing w:val="-10"/>
                <w:sz w:val="24"/>
                <w:szCs w:val="24"/>
              </w:rPr>
              <w:t>般</w:t>
            </w:r>
            <w:r>
              <w:rPr>
                <w:sz w:val="24"/>
                <w:szCs w:val="24"/>
              </w:rPr>
              <w:tab/>
            </w:r>
            <w:r>
              <w:rPr>
                <w:spacing w:val="-4"/>
                <w:sz w:val="24"/>
                <w:szCs w:val="24"/>
              </w:rPr>
              <w:t>☐不满</w:t>
            </w:r>
            <w:r>
              <w:rPr>
                <w:spacing w:val="-10"/>
                <w:sz w:val="24"/>
                <w:szCs w:val="24"/>
              </w:rPr>
              <w:t>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1" w:hRule="atLeast"/>
        </w:trPr>
        <w:tc>
          <w:tcPr>
            <w:tcW w:w="1531" w:type="dxa"/>
            <w:vMerge w:val="continue"/>
            <w:tcBorders>
              <w:top w:val="nil"/>
              <w:bottom w:val="single" w:color="000000" w:sz="2" w:space="0"/>
              <w:right w:val="single" w:color="000000" w:sz="2" w:space="0"/>
            </w:tcBorders>
          </w:tcPr>
          <w:p>
            <w:pPr>
              <w:rPr>
                <w:sz w:val="24"/>
                <w:szCs w:val="24"/>
              </w:rPr>
            </w:pPr>
          </w:p>
        </w:tc>
        <w:tc>
          <w:tcPr>
            <w:tcW w:w="1650" w:type="dxa"/>
            <w:tcBorders>
              <w:top w:val="single" w:color="000000" w:sz="2" w:space="0"/>
              <w:left w:val="single" w:color="000000" w:sz="2" w:space="0"/>
              <w:bottom w:val="single" w:color="000000" w:sz="2" w:space="0"/>
              <w:right w:val="single" w:color="000000" w:sz="2" w:space="0"/>
            </w:tcBorders>
          </w:tcPr>
          <w:p>
            <w:pPr>
              <w:pStyle w:val="232"/>
              <w:keepNext w:val="0"/>
              <w:keepLines w:val="0"/>
              <w:pageBreakBefore w:val="0"/>
              <w:widowControl w:val="0"/>
              <w:kinsoku/>
              <w:wordWrap/>
              <w:overflowPunct/>
              <w:topLinePunct w:val="0"/>
              <w:autoSpaceDE/>
              <w:autoSpaceDN/>
              <w:bidi w:val="0"/>
              <w:adjustRightInd w:val="0"/>
              <w:snapToGrid/>
              <w:spacing w:before="15" w:line="240" w:lineRule="atLeast"/>
              <w:ind w:hanging="181"/>
              <w:textAlignment w:val="auto"/>
              <w:rPr>
                <w:rFonts w:ascii="黑体"/>
                <w:sz w:val="24"/>
                <w:szCs w:val="24"/>
              </w:rPr>
            </w:pPr>
          </w:p>
          <w:p>
            <w:pPr>
              <w:pStyle w:val="232"/>
              <w:keepNext w:val="0"/>
              <w:keepLines w:val="0"/>
              <w:pageBreakBefore w:val="0"/>
              <w:widowControl w:val="0"/>
              <w:kinsoku/>
              <w:wordWrap/>
              <w:overflowPunct/>
              <w:topLinePunct w:val="0"/>
              <w:autoSpaceDE/>
              <w:autoSpaceDN/>
              <w:bidi w:val="0"/>
              <w:adjustRightInd w:val="0"/>
              <w:snapToGrid/>
              <w:spacing w:before="1" w:line="240" w:lineRule="atLeast"/>
              <w:ind w:left="22" w:hanging="181"/>
              <w:jc w:val="center"/>
              <w:textAlignment w:val="auto"/>
              <w:rPr>
                <w:sz w:val="24"/>
                <w:szCs w:val="24"/>
              </w:rPr>
            </w:pPr>
            <w:r>
              <w:rPr>
                <w:spacing w:val="-7"/>
                <w:sz w:val="24"/>
                <w:szCs w:val="24"/>
              </w:rPr>
              <w:t>会场灯光效果</w:t>
            </w:r>
          </w:p>
        </w:tc>
        <w:tc>
          <w:tcPr>
            <w:tcW w:w="6332" w:type="dxa"/>
            <w:gridSpan w:val="4"/>
            <w:tcBorders>
              <w:top w:val="single" w:color="000000" w:sz="2" w:space="0"/>
              <w:left w:val="single" w:color="000000" w:sz="2" w:space="0"/>
              <w:bottom w:val="single" w:color="000000" w:sz="2" w:space="0"/>
            </w:tcBorders>
          </w:tcPr>
          <w:p>
            <w:pPr>
              <w:pStyle w:val="232"/>
              <w:spacing w:before="15"/>
              <w:rPr>
                <w:rFonts w:ascii="黑体"/>
                <w:sz w:val="24"/>
                <w:szCs w:val="24"/>
              </w:rPr>
            </w:pPr>
          </w:p>
          <w:p>
            <w:pPr>
              <w:pStyle w:val="232"/>
              <w:numPr>
                <w:ilvl w:val="0"/>
                <w:numId w:val="65"/>
              </w:numPr>
              <w:tabs>
                <w:tab w:val="left" w:pos="1643"/>
                <w:tab w:val="left" w:pos="2340"/>
                <w:tab w:val="left" w:pos="3211"/>
                <w:tab w:val="left" w:pos="4082"/>
              </w:tabs>
              <w:spacing w:before="1" w:after="0" w:line="240" w:lineRule="auto"/>
              <w:ind w:left="1643" w:right="0" w:hanging="177"/>
              <w:jc w:val="left"/>
              <w:rPr>
                <w:sz w:val="24"/>
                <w:szCs w:val="24"/>
              </w:rPr>
            </w:pPr>
            <w:r>
              <w:rPr>
                <w:spacing w:val="-5"/>
                <w:sz w:val="24"/>
                <w:szCs w:val="24"/>
              </w:rPr>
              <w:t>满</w:t>
            </w:r>
            <w:r>
              <w:rPr>
                <w:spacing w:val="-10"/>
                <w:sz w:val="24"/>
                <w:szCs w:val="24"/>
              </w:rPr>
              <w:t>意</w:t>
            </w:r>
            <w:r>
              <w:rPr>
                <w:sz w:val="24"/>
                <w:szCs w:val="24"/>
              </w:rPr>
              <w:tab/>
            </w:r>
            <w:r>
              <w:rPr>
                <w:spacing w:val="-6"/>
                <w:sz w:val="24"/>
                <w:szCs w:val="24"/>
              </w:rPr>
              <w:t>☐较</w:t>
            </w:r>
            <w:r>
              <w:rPr>
                <w:spacing w:val="-10"/>
                <w:sz w:val="24"/>
                <w:szCs w:val="24"/>
              </w:rPr>
              <w:t>好</w:t>
            </w:r>
            <w:r>
              <w:rPr>
                <w:sz w:val="24"/>
                <w:szCs w:val="24"/>
              </w:rPr>
              <w:tab/>
            </w:r>
            <w:r>
              <w:rPr>
                <w:spacing w:val="-5"/>
                <w:sz w:val="24"/>
                <w:szCs w:val="24"/>
              </w:rPr>
              <w:t>☐—</w:t>
            </w:r>
            <w:r>
              <w:rPr>
                <w:spacing w:val="-10"/>
                <w:sz w:val="24"/>
                <w:szCs w:val="24"/>
              </w:rPr>
              <w:t>般</w:t>
            </w:r>
            <w:r>
              <w:rPr>
                <w:sz w:val="24"/>
                <w:szCs w:val="24"/>
              </w:rPr>
              <w:tab/>
            </w:r>
            <w:r>
              <w:rPr>
                <w:spacing w:val="-4"/>
                <w:sz w:val="24"/>
                <w:szCs w:val="24"/>
              </w:rPr>
              <w:t>☐不满</w:t>
            </w:r>
            <w:r>
              <w:rPr>
                <w:spacing w:val="-10"/>
                <w:sz w:val="24"/>
                <w:szCs w:val="24"/>
              </w:rPr>
              <w:t>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2" w:hRule="atLeast"/>
        </w:trPr>
        <w:tc>
          <w:tcPr>
            <w:tcW w:w="1531" w:type="dxa"/>
            <w:vMerge w:val="continue"/>
            <w:tcBorders>
              <w:top w:val="nil"/>
              <w:bottom w:val="single" w:color="000000" w:sz="2" w:space="0"/>
              <w:right w:val="single" w:color="000000" w:sz="2" w:space="0"/>
            </w:tcBorders>
          </w:tcPr>
          <w:p>
            <w:pPr>
              <w:rPr>
                <w:sz w:val="24"/>
                <w:szCs w:val="24"/>
              </w:rPr>
            </w:pPr>
          </w:p>
        </w:tc>
        <w:tc>
          <w:tcPr>
            <w:tcW w:w="1650" w:type="dxa"/>
            <w:tcBorders>
              <w:top w:val="single" w:color="000000" w:sz="2" w:space="0"/>
              <w:left w:val="single" w:color="000000" w:sz="2" w:space="0"/>
              <w:bottom w:val="single" w:color="000000" w:sz="2" w:space="0"/>
              <w:right w:val="single" w:color="000000" w:sz="2" w:space="0"/>
            </w:tcBorders>
          </w:tcPr>
          <w:p>
            <w:pPr>
              <w:pStyle w:val="232"/>
              <w:keepNext w:val="0"/>
              <w:keepLines w:val="0"/>
              <w:pageBreakBefore w:val="0"/>
              <w:widowControl w:val="0"/>
              <w:kinsoku/>
              <w:wordWrap/>
              <w:overflowPunct/>
              <w:topLinePunct w:val="0"/>
              <w:autoSpaceDE/>
              <w:autoSpaceDN/>
              <w:bidi w:val="0"/>
              <w:adjustRightInd w:val="0"/>
              <w:snapToGrid/>
              <w:spacing w:before="18" w:line="240" w:lineRule="atLeast"/>
              <w:ind w:hanging="181"/>
              <w:textAlignment w:val="auto"/>
              <w:rPr>
                <w:rFonts w:ascii="黑体"/>
                <w:sz w:val="24"/>
                <w:szCs w:val="24"/>
              </w:rPr>
            </w:pPr>
          </w:p>
          <w:p>
            <w:pPr>
              <w:pStyle w:val="232"/>
              <w:keepNext w:val="0"/>
              <w:keepLines w:val="0"/>
              <w:pageBreakBefore w:val="0"/>
              <w:widowControl w:val="0"/>
              <w:kinsoku/>
              <w:wordWrap/>
              <w:overflowPunct/>
              <w:topLinePunct w:val="0"/>
              <w:autoSpaceDE/>
              <w:autoSpaceDN/>
              <w:bidi w:val="0"/>
              <w:adjustRightInd w:val="0"/>
              <w:snapToGrid/>
              <w:spacing w:line="240" w:lineRule="atLeast"/>
              <w:ind w:left="22" w:hanging="181"/>
              <w:jc w:val="center"/>
              <w:textAlignment w:val="auto"/>
              <w:rPr>
                <w:sz w:val="24"/>
                <w:szCs w:val="24"/>
              </w:rPr>
            </w:pPr>
            <w:r>
              <w:rPr>
                <w:spacing w:val="-7"/>
                <w:sz w:val="24"/>
                <w:szCs w:val="24"/>
              </w:rPr>
              <w:t>会场空调效果</w:t>
            </w:r>
          </w:p>
        </w:tc>
        <w:tc>
          <w:tcPr>
            <w:tcW w:w="6332" w:type="dxa"/>
            <w:gridSpan w:val="4"/>
            <w:tcBorders>
              <w:top w:val="single" w:color="000000" w:sz="2" w:space="0"/>
              <w:left w:val="single" w:color="000000" w:sz="2" w:space="0"/>
              <w:bottom w:val="single" w:color="000000" w:sz="2" w:space="0"/>
            </w:tcBorders>
          </w:tcPr>
          <w:p>
            <w:pPr>
              <w:pStyle w:val="232"/>
              <w:spacing w:before="18"/>
              <w:rPr>
                <w:rFonts w:ascii="黑体"/>
                <w:sz w:val="24"/>
                <w:szCs w:val="24"/>
              </w:rPr>
            </w:pPr>
          </w:p>
          <w:p>
            <w:pPr>
              <w:pStyle w:val="232"/>
              <w:numPr>
                <w:ilvl w:val="0"/>
                <w:numId w:val="66"/>
              </w:numPr>
              <w:tabs>
                <w:tab w:val="left" w:pos="1643"/>
                <w:tab w:val="left" w:pos="2340"/>
                <w:tab w:val="left" w:pos="3211"/>
                <w:tab w:val="left" w:pos="4082"/>
              </w:tabs>
              <w:spacing w:before="0" w:after="0" w:line="240" w:lineRule="auto"/>
              <w:ind w:left="1643" w:right="0" w:hanging="177"/>
              <w:jc w:val="left"/>
              <w:rPr>
                <w:sz w:val="24"/>
                <w:szCs w:val="24"/>
              </w:rPr>
            </w:pPr>
            <w:r>
              <w:rPr>
                <w:spacing w:val="-5"/>
                <w:sz w:val="24"/>
                <w:szCs w:val="24"/>
              </w:rPr>
              <w:t>满</w:t>
            </w:r>
            <w:r>
              <w:rPr>
                <w:spacing w:val="-10"/>
                <w:sz w:val="24"/>
                <w:szCs w:val="24"/>
              </w:rPr>
              <w:t>意</w:t>
            </w:r>
            <w:r>
              <w:rPr>
                <w:sz w:val="24"/>
                <w:szCs w:val="24"/>
              </w:rPr>
              <w:tab/>
            </w:r>
            <w:r>
              <w:rPr>
                <w:spacing w:val="-6"/>
                <w:sz w:val="24"/>
                <w:szCs w:val="24"/>
              </w:rPr>
              <w:t>☐较</w:t>
            </w:r>
            <w:r>
              <w:rPr>
                <w:spacing w:val="-10"/>
                <w:sz w:val="24"/>
                <w:szCs w:val="24"/>
              </w:rPr>
              <w:t>好</w:t>
            </w:r>
            <w:r>
              <w:rPr>
                <w:sz w:val="24"/>
                <w:szCs w:val="24"/>
              </w:rPr>
              <w:tab/>
            </w:r>
            <w:r>
              <w:rPr>
                <w:spacing w:val="-5"/>
                <w:sz w:val="24"/>
                <w:szCs w:val="24"/>
              </w:rPr>
              <w:t>☐—</w:t>
            </w:r>
            <w:r>
              <w:rPr>
                <w:spacing w:val="-10"/>
                <w:sz w:val="24"/>
                <w:szCs w:val="24"/>
              </w:rPr>
              <w:t>般</w:t>
            </w:r>
            <w:r>
              <w:rPr>
                <w:sz w:val="24"/>
                <w:szCs w:val="24"/>
              </w:rPr>
              <w:tab/>
            </w:r>
            <w:r>
              <w:rPr>
                <w:spacing w:val="-4"/>
                <w:sz w:val="24"/>
                <w:szCs w:val="24"/>
              </w:rPr>
              <w:t>☐不满</w:t>
            </w:r>
            <w:r>
              <w:rPr>
                <w:spacing w:val="-10"/>
                <w:sz w:val="24"/>
                <w:szCs w:val="24"/>
              </w:rPr>
              <w:t>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5" w:hRule="atLeast"/>
        </w:trPr>
        <w:tc>
          <w:tcPr>
            <w:tcW w:w="9513" w:type="dxa"/>
            <w:gridSpan w:val="6"/>
            <w:tcBorders>
              <w:top w:val="single" w:color="000000" w:sz="2" w:space="0"/>
            </w:tcBorders>
          </w:tcPr>
          <w:p>
            <w:pPr>
              <w:pStyle w:val="232"/>
              <w:spacing w:before="36"/>
              <w:ind w:left="10"/>
              <w:rPr>
                <w:sz w:val="24"/>
                <w:szCs w:val="24"/>
              </w:rPr>
            </w:pPr>
            <w:r>
              <w:rPr>
                <w:rFonts w:hint="eastAsia"/>
                <w:sz w:val="24"/>
                <w:szCs w:val="24"/>
                <w:lang w:val="en-US" w:eastAsia="zh-CN"/>
              </w:rPr>
              <w:t xml:space="preserve">  </w:t>
            </w:r>
            <w:r>
              <w:rPr>
                <w:sz w:val="24"/>
                <w:szCs w:val="24"/>
              </w:rPr>
              <w:t>您对本次会议服务有何建议</w:t>
            </w:r>
            <w:r>
              <w:rPr>
                <w:rFonts w:hint="eastAsia"/>
                <w:sz w:val="24"/>
                <w:szCs w:val="24"/>
                <w:lang w:eastAsia="zh-CN"/>
              </w:rPr>
              <w:t>和</w:t>
            </w:r>
            <w:r>
              <w:rPr>
                <w:spacing w:val="-4"/>
                <w:sz w:val="24"/>
                <w:szCs w:val="24"/>
              </w:rPr>
              <w:t>意见:</w:t>
            </w:r>
          </w:p>
        </w:tc>
      </w:tr>
    </w:tbl>
    <w:p>
      <w:pPr>
        <w:autoSpaceDE w:val="0"/>
        <w:snapToGrid w:val="0"/>
        <w:spacing w:after="283" w:line="240" w:lineRule="auto"/>
        <w:jc w:val="center"/>
        <w:rPr>
          <w:rFonts w:hint="eastAsia" w:ascii="黑体" w:hAnsi="黑体" w:eastAsia="黑体"/>
          <w:kern w:val="44"/>
          <w:sz w:val="22"/>
          <w:szCs w:val="22"/>
        </w:rPr>
      </w:pPr>
    </w:p>
    <w:p>
      <w:pPr>
        <w:autoSpaceDE w:val="0"/>
        <w:snapToGrid w:val="0"/>
        <w:spacing w:after="283" w:line="240" w:lineRule="auto"/>
        <w:jc w:val="both"/>
        <w:rPr>
          <w:rFonts w:hint="eastAsia" w:ascii="黑体" w:hAnsi="黑体" w:eastAsia="黑体"/>
          <w:kern w:val="44"/>
        </w:rPr>
      </w:pPr>
    </w:p>
    <w:p>
      <w:pPr>
        <w:autoSpaceDE w:val="0"/>
        <w:snapToGrid w:val="0"/>
        <w:spacing w:after="283" w:line="240" w:lineRule="auto"/>
        <w:jc w:val="center"/>
        <w:rPr>
          <w:rFonts w:hint="eastAsia" w:ascii="黑体" w:hAnsi="黑体" w:eastAsia="黑体"/>
          <w:kern w:val="44"/>
        </w:rPr>
      </w:pPr>
      <w:r>
        <w:rPr>
          <w:rFonts w:hint="eastAsia" w:ascii="黑体" w:hAnsi="黑体" w:eastAsia="黑体"/>
          <w:kern w:val="44"/>
        </w:rPr>
        <w:t>参</w:t>
      </w:r>
      <w:r>
        <w:rPr>
          <w:rFonts w:hint="eastAsia" w:ascii="黑体" w:hAnsi="黑体" w:eastAsia="黑体"/>
          <w:kern w:val="44"/>
          <w:lang w:val="en-US" w:eastAsia="zh-CN"/>
        </w:rPr>
        <w:t xml:space="preserve">  </w:t>
      </w:r>
      <w:r>
        <w:rPr>
          <w:rFonts w:hint="eastAsia" w:ascii="黑体" w:hAnsi="黑体" w:eastAsia="黑体"/>
          <w:kern w:val="44"/>
        </w:rPr>
        <w:t>考</w:t>
      </w:r>
      <w:r>
        <w:rPr>
          <w:rFonts w:hint="eastAsia" w:ascii="黑体" w:hAnsi="黑体" w:eastAsia="黑体"/>
          <w:kern w:val="44"/>
          <w:lang w:val="en-US" w:eastAsia="zh-CN"/>
        </w:rPr>
        <w:t xml:space="preserve">  </w:t>
      </w:r>
      <w:r>
        <w:rPr>
          <w:rFonts w:hint="eastAsia" w:ascii="黑体" w:hAnsi="黑体" w:eastAsia="黑体"/>
          <w:kern w:val="44"/>
        </w:rPr>
        <w:t>文</w:t>
      </w:r>
      <w:r>
        <w:rPr>
          <w:rFonts w:hint="eastAsia" w:ascii="黑体" w:hAnsi="黑体" w:eastAsia="黑体"/>
          <w:kern w:val="44"/>
          <w:lang w:val="en-US" w:eastAsia="zh-CN"/>
        </w:rPr>
        <w:t xml:space="preserve">  </w:t>
      </w:r>
      <w:r>
        <w:rPr>
          <w:rFonts w:hint="eastAsia" w:ascii="黑体" w:hAnsi="黑体" w:eastAsia="黑体"/>
          <w:kern w:val="44"/>
        </w:rPr>
        <w:t>献</w:t>
      </w:r>
    </w:p>
    <w:p>
      <w:pPr>
        <w:autoSpaceDE w:val="0"/>
        <w:snapToGrid w:val="0"/>
        <w:spacing w:after="283" w:line="240" w:lineRule="auto"/>
        <w:jc w:val="both"/>
        <w:rPr>
          <w:rFonts w:hint="eastAsia" w:ascii="黑体" w:hAnsi="黑体" w:eastAsia="黑体"/>
          <w:kern w:val="44"/>
        </w:rPr>
      </w:pPr>
      <w:r>
        <w:rPr>
          <w:rFonts w:hint="eastAsia" w:ascii="黑体" w:hAnsi="黑体" w:eastAsia="黑体"/>
          <w:kern w:val="44"/>
        </w:rPr>
        <w:t>[1]</w:t>
      </w:r>
      <w:r>
        <w:rPr>
          <w:rFonts w:hint="eastAsia" w:ascii="黑体" w:hAnsi="黑体" w:eastAsia="黑体"/>
          <w:kern w:val="44"/>
        </w:rPr>
        <w:tab/>
      </w:r>
      <w:r>
        <w:rPr>
          <w:rFonts w:hint="eastAsia" w:ascii="黑体" w:hAnsi="黑体" w:eastAsia="黑体"/>
          <w:kern w:val="44"/>
        </w:rPr>
        <w:t>SB/T 10851-2012会议中心运营服务规范</w:t>
      </w:r>
      <w:r>
        <w:rPr>
          <w:rFonts w:hint="eastAsia" w:ascii="黑体" w:hAnsi="黑体" w:eastAsia="黑体"/>
          <w:kern w:val="44"/>
        </w:rPr>
        <w:tab/>
      </w:r>
    </w:p>
    <w:p>
      <w:pPr>
        <w:autoSpaceDE w:val="0"/>
        <w:snapToGrid w:val="0"/>
        <w:spacing w:after="283" w:line="240" w:lineRule="auto"/>
        <w:jc w:val="both"/>
        <w:rPr>
          <w:rFonts w:hint="eastAsia" w:ascii="黑体" w:hAnsi="黑体" w:eastAsia="黑体"/>
          <w:kern w:val="44"/>
        </w:rPr>
      </w:pPr>
      <w:r>
        <w:rPr>
          <w:rFonts w:hint="eastAsia" w:ascii="黑体" w:hAnsi="黑体" w:eastAsia="黑体"/>
          <w:kern w:val="44"/>
        </w:rPr>
        <w:t>[2]</w:t>
      </w:r>
      <w:r>
        <w:rPr>
          <w:rFonts w:hint="eastAsia" w:ascii="黑体" w:hAnsi="黑体" w:eastAsia="黑体"/>
          <w:kern w:val="44"/>
          <w:lang w:val="en-US" w:eastAsia="zh-CN"/>
        </w:rPr>
        <w:t xml:space="preserve"> </w:t>
      </w:r>
      <w:r>
        <w:rPr>
          <w:rFonts w:hint="eastAsia" w:ascii="黑体" w:hAnsi="黑体" w:eastAsia="黑体"/>
          <w:kern w:val="44"/>
        </w:rPr>
        <w:t>中共中央办公厅，国务院办公厅.党政机关办公用房管理办法[Z].2017年12月5日.</w:t>
      </w:r>
    </w:p>
    <w:p>
      <w:pPr>
        <w:autoSpaceDE w:val="0"/>
        <w:snapToGrid w:val="0"/>
        <w:spacing w:after="283" w:line="240" w:lineRule="auto"/>
        <w:jc w:val="both"/>
        <w:rPr>
          <w:rFonts w:hint="eastAsia" w:ascii="黑体" w:hAnsi="黑体" w:eastAsia="黑体"/>
          <w:kern w:val="44"/>
          <w:lang w:val="en-US" w:eastAsia="zh-CN"/>
        </w:rPr>
      </w:pPr>
      <w:r>
        <w:rPr>
          <w:rFonts w:hint="eastAsia" w:ascii="黑体" w:hAnsi="黑体" w:eastAsia="黑体"/>
          <w:kern w:val="44"/>
        </w:rPr>
        <w:t>[</w:t>
      </w:r>
      <w:r>
        <w:rPr>
          <w:rFonts w:hint="eastAsia" w:ascii="黑体" w:hAnsi="黑体" w:eastAsia="黑体"/>
          <w:kern w:val="44"/>
          <w:lang w:val="en-US" w:eastAsia="zh-CN"/>
        </w:rPr>
        <w:t>3</w:t>
      </w:r>
      <w:r>
        <w:rPr>
          <w:rFonts w:hint="eastAsia" w:ascii="黑体" w:hAnsi="黑体" w:eastAsia="黑体"/>
          <w:kern w:val="44"/>
        </w:rPr>
        <w:t>]</w:t>
      </w:r>
      <w:r>
        <w:rPr>
          <w:rFonts w:hint="eastAsia" w:ascii="黑体" w:hAnsi="黑体" w:eastAsia="黑体"/>
          <w:kern w:val="44"/>
          <w:lang w:val="en-US" w:eastAsia="zh-CN"/>
        </w:rPr>
        <w:t xml:space="preserve"> </w:t>
      </w:r>
      <w:r>
        <w:rPr>
          <w:rFonts w:hint="eastAsia" w:ascii="黑体" w:hAnsi="黑体" w:eastAsia="黑体"/>
          <w:kern w:val="44"/>
        </w:rPr>
        <w:t>国家档案局.机关文件材料归档范围和文书档案保管期限规定[Z].2006年12月18日</w:t>
      </w:r>
      <w:r>
        <w:rPr>
          <w:rFonts w:hint="eastAsia" w:ascii="黑体" w:hAnsi="黑体" w:eastAsia="黑体"/>
          <w:kern w:val="44"/>
          <w:lang w:val="en-US" w:eastAsia="zh-CN"/>
        </w:rPr>
        <w:t>.</w:t>
      </w:r>
    </w:p>
    <w:p>
      <w:pPr>
        <w:autoSpaceDE w:val="0"/>
        <w:snapToGrid w:val="0"/>
        <w:spacing w:after="283" w:line="240" w:lineRule="auto"/>
        <w:jc w:val="both"/>
        <w:rPr>
          <w:rFonts w:hint="eastAsia" w:ascii="黑体" w:hAnsi="黑体" w:eastAsia="黑体"/>
          <w:kern w:val="44"/>
          <w:lang w:val="en-US" w:eastAsia="zh-CN"/>
        </w:rPr>
      </w:pPr>
      <w:r>
        <w:rPr>
          <w:rFonts w:hint="eastAsia" w:ascii="黑体" w:hAnsi="黑体" w:eastAsia="黑体"/>
          <w:kern w:val="44"/>
        </w:rPr>
        <w:t>[4]国务院.国务院关于加强节能工作的决定(国发(2006)28号)[Z].2006年08月06日</w:t>
      </w:r>
      <w:r>
        <w:rPr>
          <w:rFonts w:hint="eastAsia" w:ascii="黑体" w:hAnsi="黑体" w:eastAsia="黑体"/>
          <w:kern w:val="44"/>
          <w:lang w:val="en-US" w:eastAsia="zh-CN"/>
        </w:rPr>
        <w:t>.</w:t>
      </w:r>
    </w:p>
    <w:p>
      <w:pPr>
        <w:autoSpaceDE w:val="0"/>
        <w:snapToGrid w:val="0"/>
        <w:spacing w:after="283" w:line="240" w:lineRule="auto"/>
        <w:jc w:val="both"/>
        <w:rPr>
          <w:rFonts w:hint="default" w:ascii="黑体" w:hAnsi="黑体" w:eastAsia="黑体"/>
          <w:kern w:val="44"/>
          <w:lang w:val="en-US" w:eastAsia="zh-CN"/>
        </w:rPr>
      </w:pPr>
      <w:r>
        <w:rPr>
          <w:rFonts w:hint="eastAsia" w:ascii="黑体" w:hAnsi="黑体" w:eastAsia="黑体"/>
          <w:kern w:val="44"/>
        </w:rPr>
        <w:t>[5]</w:t>
      </w:r>
      <w:r>
        <w:rPr>
          <w:rFonts w:hint="eastAsia" w:ascii="黑体" w:hAnsi="黑体" w:eastAsia="黑体"/>
          <w:kern w:val="44"/>
          <w:lang w:eastAsia="zh-CN"/>
        </w:rPr>
        <w:t>湖北省市场监督管理局</w:t>
      </w:r>
      <w:r>
        <w:rPr>
          <w:rFonts w:hint="eastAsia" w:ascii="黑体" w:hAnsi="黑体" w:eastAsia="黑体"/>
          <w:kern w:val="44"/>
          <w:lang w:val="en-US" w:eastAsia="zh-CN"/>
        </w:rPr>
        <w:t>.党政机关会议</w:t>
      </w:r>
      <w:bookmarkStart w:id="72" w:name="_GoBack"/>
      <w:r>
        <w:rPr>
          <w:rFonts w:hint="eastAsia" w:ascii="黑体" w:hAnsi="黑体" w:eastAsia="黑体"/>
          <w:kern w:val="44"/>
          <w:lang w:val="en-US" w:eastAsia="zh-CN"/>
        </w:rPr>
        <w:t>服务管理规范</w:t>
      </w:r>
      <w:bookmarkEnd w:id="72"/>
      <w:r>
        <w:rPr>
          <w:rFonts w:hint="eastAsia" w:ascii="黑体" w:hAnsi="黑体" w:eastAsia="黑体"/>
          <w:kern w:val="44"/>
        </w:rPr>
        <w:t>[Z]</w:t>
      </w:r>
      <w:r>
        <w:rPr>
          <w:rFonts w:hint="eastAsia" w:ascii="黑体" w:hAnsi="黑体" w:eastAsia="黑体"/>
          <w:kern w:val="44"/>
          <w:lang w:val="en-US" w:eastAsia="zh-CN"/>
        </w:rPr>
        <w:t>.2018年11月5日.</w:t>
      </w: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E1301"/>
    <w:multiLevelType w:val="multilevel"/>
    <w:tmpl w:val="8B7E1301"/>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1">
    <w:nsid w:val="8E3B71E0"/>
    <w:multiLevelType w:val="multilevel"/>
    <w:tmpl w:val="8E3B71E0"/>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2">
    <w:nsid w:val="AF7F8AEA"/>
    <w:multiLevelType w:val="multilevel"/>
    <w:tmpl w:val="AF7F8AEA"/>
    <w:lvl w:ilvl="0" w:tentative="0">
      <w:start w:val="0"/>
      <w:numFmt w:val="bullet"/>
      <w:lvlText w:val="☐"/>
      <w:lvlJc w:val="left"/>
      <w:pPr>
        <w:ind w:left="292"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356" w:hanging="182"/>
      </w:pPr>
      <w:rPr>
        <w:rFonts w:hint="default"/>
        <w:lang w:val="fr-FR" w:eastAsia="en-US" w:bidi="ar-SA"/>
      </w:rPr>
    </w:lvl>
    <w:lvl w:ilvl="2" w:tentative="0">
      <w:start w:val="0"/>
      <w:numFmt w:val="bullet"/>
      <w:lvlText w:val="•"/>
      <w:lvlJc w:val="left"/>
      <w:pPr>
        <w:ind w:left="413" w:hanging="182"/>
      </w:pPr>
      <w:rPr>
        <w:rFonts w:hint="default"/>
        <w:lang w:val="fr-FR" w:eastAsia="en-US" w:bidi="ar-SA"/>
      </w:rPr>
    </w:lvl>
    <w:lvl w:ilvl="3" w:tentative="0">
      <w:start w:val="0"/>
      <w:numFmt w:val="bullet"/>
      <w:lvlText w:val="•"/>
      <w:lvlJc w:val="left"/>
      <w:pPr>
        <w:ind w:left="470" w:hanging="182"/>
      </w:pPr>
      <w:rPr>
        <w:rFonts w:hint="default"/>
        <w:lang w:val="fr-FR" w:eastAsia="en-US" w:bidi="ar-SA"/>
      </w:rPr>
    </w:lvl>
    <w:lvl w:ilvl="4" w:tentative="0">
      <w:start w:val="0"/>
      <w:numFmt w:val="bullet"/>
      <w:lvlText w:val="•"/>
      <w:lvlJc w:val="left"/>
      <w:pPr>
        <w:ind w:left="526" w:hanging="182"/>
      </w:pPr>
      <w:rPr>
        <w:rFonts w:hint="default"/>
        <w:lang w:val="fr-FR" w:eastAsia="en-US" w:bidi="ar-SA"/>
      </w:rPr>
    </w:lvl>
    <w:lvl w:ilvl="5" w:tentative="0">
      <w:start w:val="0"/>
      <w:numFmt w:val="bullet"/>
      <w:lvlText w:val="•"/>
      <w:lvlJc w:val="left"/>
      <w:pPr>
        <w:ind w:left="583" w:hanging="182"/>
      </w:pPr>
      <w:rPr>
        <w:rFonts w:hint="default"/>
        <w:lang w:val="fr-FR" w:eastAsia="en-US" w:bidi="ar-SA"/>
      </w:rPr>
    </w:lvl>
    <w:lvl w:ilvl="6" w:tentative="0">
      <w:start w:val="0"/>
      <w:numFmt w:val="bullet"/>
      <w:lvlText w:val="•"/>
      <w:lvlJc w:val="left"/>
      <w:pPr>
        <w:ind w:left="640" w:hanging="182"/>
      </w:pPr>
      <w:rPr>
        <w:rFonts w:hint="default"/>
        <w:lang w:val="fr-FR" w:eastAsia="en-US" w:bidi="ar-SA"/>
      </w:rPr>
    </w:lvl>
    <w:lvl w:ilvl="7" w:tentative="0">
      <w:start w:val="0"/>
      <w:numFmt w:val="bullet"/>
      <w:lvlText w:val="•"/>
      <w:lvlJc w:val="left"/>
      <w:pPr>
        <w:ind w:left="696" w:hanging="182"/>
      </w:pPr>
      <w:rPr>
        <w:rFonts w:hint="default"/>
        <w:lang w:val="fr-FR" w:eastAsia="en-US" w:bidi="ar-SA"/>
      </w:rPr>
    </w:lvl>
    <w:lvl w:ilvl="8" w:tentative="0">
      <w:start w:val="0"/>
      <w:numFmt w:val="bullet"/>
      <w:lvlText w:val="•"/>
      <w:lvlJc w:val="left"/>
      <w:pPr>
        <w:ind w:left="753" w:hanging="182"/>
      </w:pPr>
      <w:rPr>
        <w:rFonts w:hint="default"/>
        <w:lang w:val="fr-FR" w:eastAsia="en-US" w:bidi="ar-SA"/>
      </w:rPr>
    </w:lvl>
  </w:abstractNum>
  <w:abstractNum w:abstractNumId="3">
    <w:nsid w:val="B3D6B150"/>
    <w:multiLevelType w:val="multilevel"/>
    <w:tmpl w:val="B3D6B150"/>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4">
    <w:nsid w:val="BCEE516F"/>
    <w:multiLevelType w:val="multilevel"/>
    <w:tmpl w:val="BCEE516F"/>
    <w:lvl w:ilvl="0" w:tentative="0">
      <w:start w:val="0"/>
      <w:numFmt w:val="bullet"/>
      <w:lvlText w:val="☐"/>
      <w:lvlJc w:val="left"/>
      <w:pPr>
        <w:ind w:left="292"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356" w:hanging="182"/>
      </w:pPr>
      <w:rPr>
        <w:rFonts w:hint="default"/>
        <w:lang w:val="fr-FR" w:eastAsia="en-US" w:bidi="ar-SA"/>
      </w:rPr>
    </w:lvl>
    <w:lvl w:ilvl="2" w:tentative="0">
      <w:start w:val="0"/>
      <w:numFmt w:val="bullet"/>
      <w:lvlText w:val="•"/>
      <w:lvlJc w:val="left"/>
      <w:pPr>
        <w:ind w:left="413" w:hanging="182"/>
      </w:pPr>
      <w:rPr>
        <w:rFonts w:hint="default"/>
        <w:lang w:val="fr-FR" w:eastAsia="en-US" w:bidi="ar-SA"/>
      </w:rPr>
    </w:lvl>
    <w:lvl w:ilvl="3" w:tentative="0">
      <w:start w:val="0"/>
      <w:numFmt w:val="bullet"/>
      <w:lvlText w:val="•"/>
      <w:lvlJc w:val="left"/>
      <w:pPr>
        <w:ind w:left="470" w:hanging="182"/>
      </w:pPr>
      <w:rPr>
        <w:rFonts w:hint="default"/>
        <w:lang w:val="fr-FR" w:eastAsia="en-US" w:bidi="ar-SA"/>
      </w:rPr>
    </w:lvl>
    <w:lvl w:ilvl="4" w:tentative="0">
      <w:start w:val="0"/>
      <w:numFmt w:val="bullet"/>
      <w:lvlText w:val="•"/>
      <w:lvlJc w:val="left"/>
      <w:pPr>
        <w:ind w:left="526" w:hanging="182"/>
      </w:pPr>
      <w:rPr>
        <w:rFonts w:hint="default"/>
        <w:lang w:val="fr-FR" w:eastAsia="en-US" w:bidi="ar-SA"/>
      </w:rPr>
    </w:lvl>
    <w:lvl w:ilvl="5" w:tentative="0">
      <w:start w:val="0"/>
      <w:numFmt w:val="bullet"/>
      <w:lvlText w:val="•"/>
      <w:lvlJc w:val="left"/>
      <w:pPr>
        <w:ind w:left="583" w:hanging="182"/>
      </w:pPr>
      <w:rPr>
        <w:rFonts w:hint="default"/>
        <w:lang w:val="fr-FR" w:eastAsia="en-US" w:bidi="ar-SA"/>
      </w:rPr>
    </w:lvl>
    <w:lvl w:ilvl="6" w:tentative="0">
      <w:start w:val="0"/>
      <w:numFmt w:val="bullet"/>
      <w:lvlText w:val="•"/>
      <w:lvlJc w:val="left"/>
      <w:pPr>
        <w:ind w:left="640" w:hanging="182"/>
      </w:pPr>
      <w:rPr>
        <w:rFonts w:hint="default"/>
        <w:lang w:val="fr-FR" w:eastAsia="en-US" w:bidi="ar-SA"/>
      </w:rPr>
    </w:lvl>
    <w:lvl w:ilvl="7" w:tentative="0">
      <w:start w:val="0"/>
      <w:numFmt w:val="bullet"/>
      <w:lvlText w:val="•"/>
      <w:lvlJc w:val="left"/>
      <w:pPr>
        <w:ind w:left="696" w:hanging="182"/>
      </w:pPr>
      <w:rPr>
        <w:rFonts w:hint="default"/>
        <w:lang w:val="fr-FR" w:eastAsia="en-US" w:bidi="ar-SA"/>
      </w:rPr>
    </w:lvl>
    <w:lvl w:ilvl="8" w:tentative="0">
      <w:start w:val="0"/>
      <w:numFmt w:val="bullet"/>
      <w:lvlText w:val="•"/>
      <w:lvlJc w:val="left"/>
      <w:pPr>
        <w:ind w:left="753" w:hanging="182"/>
      </w:pPr>
      <w:rPr>
        <w:rFonts w:hint="default"/>
        <w:lang w:val="fr-FR" w:eastAsia="en-US" w:bidi="ar-SA"/>
      </w:rPr>
    </w:lvl>
  </w:abstractNum>
  <w:abstractNum w:abstractNumId="5">
    <w:nsid w:val="BEFF4293"/>
    <w:multiLevelType w:val="multilevel"/>
    <w:tmpl w:val="BEFF4293"/>
    <w:lvl w:ilvl="0" w:tentative="0">
      <w:start w:val="0"/>
      <w:numFmt w:val="bullet"/>
      <w:lvlText w:val="☐"/>
      <w:lvlJc w:val="left"/>
      <w:pPr>
        <w:ind w:left="292"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356" w:hanging="182"/>
      </w:pPr>
      <w:rPr>
        <w:rFonts w:hint="default"/>
        <w:lang w:val="fr-FR" w:eastAsia="en-US" w:bidi="ar-SA"/>
      </w:rPr>
    </w:lvl>
    <w:lvl w:ilvl="2" w:tentative="0">
      <w:start w:val="0"/>
      <w:numFmt w:val="bullet"/>
      <w:lvlText w:val="•"/>
      <w:lvlJc w:val="left"/>
      <w:pPr>
        <w:ind w:left="413" w:hanging="182"/>
      </w:pPr>
      <w:rPr>
        <w:rFonts w:hint="default"/>
        <w:lang w:val="fr-FR" w:eastAsia="en-US" w:bidi="ar-SA"/>
      </w:rPr>
    </w:lvl>
    <w:lvl w:ilvl="3" w:tentative="0">
      <w:start w:val="0"/>
      <w:numFmt w:val="bullet"/>
      <w:lvlText w:val="•"/>
      <w:lvlJc w:val="left"/>
      <w:pPr>
        <w:ind w:left="470" w:hanging="182"/>
      </w:pPr>
      <w:rPr>
        <w:rFonts w:hint="default"/>
        <w:lang w:val="fr-FR" w:eastAsia="en-US" w:bidi="ar-SA"/>
      </w:rPr>
    </w:lvl>
    <w:lvl w:ilvl="4" w:tentative="0">
      <w:start w:val="0"/>
      <w:numFmt w:val="bullet"/>
      <w:lvlText w:val="•"/>
      <w:lvlJc w:val="left"/>
      <w:pPr>
        <w:ind w:left="526" w:hanging="182"/>
      </w:pPr>
      <w:rPr>
        <w:rFonts w:hint="default"/>
        <w:lang w:val="fr-FR" w:eastAsia="en-US" w:bidi="ar-SA"/>
      </w:rPr>
    </w:lvl>
    <w:lvl w:ilvl="5" w:tentative="0">
      <w:start w:val="0"/>
      <w:numFmt w:val="bullet"/>
      <w:lvlText w:val="•"/>
      <w:lvlJc w:val="left"/>
      <w:pPr>
        <w:ind w:left="583" w:hanging="182"/>
      </w:pPr>
      <w:rPr>
        <w:rFonts w:hint="default"/>
        <w:lang w:val="fr-FR" w:eastAsia="en-US" w:bidi="ar-SA"/>
      </w:rPr>
    </w:lvl>
    <w:lvl w:ilvl="6" w:tentative="0">
      <w:start w:val="0"/>
      <w:numFmt w:val="bullet"/>
      <w:lvlText w:val="•"/>
      <w:lvlJc w:val="left"/>
      <w:pPr>
        <w:ind w:left="640" w:hanging="182"/>
      </w:pPr>
      <w:rPr>
        <w:rFonts w:hint="default"/>
        <w:lang w:val="fr-FR" w:eastAsia="en-US" w:bidi="ar-SA"/>
      </w:rPr>
    </w:lvl>
    <w:lvl w:ilvl="7" w:tentative="0">
      <w:start w:val="0"/>
      <w:numFmt w:val="bullet"/>
      <w:lvlText w:val="•"/>
      <w:lvlJc w:val="left"/>
      <w:pPr>
        <w:ind w:left="696" w:hanging="182"/>
      </w:pPr>
      <w:rPr>
        <w:rFonts w:hint="default"/>
        <w:lang w:val="fr-FR" w:eastAsia="en-US" w:bidi="ar-SA"/>
      </w:rPr>
    </w:lvl>
    <w:lvl w:ilvl="8" w:tentative="0">
      <w:start w:val="0"/>
      <w:numFmt w:val="bullet"/>
      <w:lvlText w:val="•"/>
      <w:lvlJc w:val="left"/>
      <w:pPr>
        <w:ind w:left="753" w:hanging="182"/>
      </w:pPr>
      <w:rPr>
        <w:rFonts w:hint="default"/>
        <w:lang w:val="fr-FR" w:eastAsia="en-US" w:bidi="ar-SA"/>
      </w:rPr>
    </w:lvl>
  </w:abstractNum>
  <w:abstractNum w:abstractNumId="6">
    <w:nsid w:val="BF7D7EBD"/>
    <w:multiLevelType w:val="singleLevel"/>
    <w:tmpl w:val="BF7D7EBD"/>
    <w:lvl w:ilvl="0" w:tentative="0">
      <w:start w:val="1"/>
      <w:numFmt w:val="decimal"/>
      <w:lvlText w:val="%1."/>
      <w:lvlJc w:val="left"/>
      <w:pPr>
        <w:tabs>
          <w:tab w:val="left" w:pos="312"/>
        </w:tabs>
      </w:pPr>
    </w:lvl>
  </w:abstractNum>
  <w:abstractNum w:abstractNumId="7">
    <w:nsid w:val="BFAFE89C"/>
    <w:multiLevelType w:val="multilevel"/>
    <w:tmpl w:val="BFAFE89C"/>
    <w:lvl w:ilvl="0" w:tentative="0">
      <w:start w:val="0"/>
      <w:numFmt w:val="bullet"/>
      <w:lvlText w:val="☐"/>
      <w:lvlJc w:val="left"/>
      <w:pPr>
        <w:ind w:left="1647" w:hanging="182"/>
      </w:pPr>
      <w:rPr>
        <w:rFonts w:hint="default" w:ascii="宋体" w:hAnsi="宋体" w:eastAsia="宋体" w:cs="宋体"/>
        <w:b w:val="0"/>
        <w:bCs w:val="0"/>
        <w:i w:val="0"/>
        <w:iCs w:val="0"/>
        <w:spacing w:val="-3"/>
        <w:w w:val="99"/>
        <w:sz w:val="16"/>
        <w:szCs w:val="16"/>
        <w:lang w:val="fr-FR" w:eastAsia="en-US" w:bidi="ar-SA"/>
      </w:rPr>
    </w:lvl>
    <w:lvl w:ilvl="1" w:tentative="0">
      <w:start w:val="0"/>
      <w:numFmt w:val="bullet"/>
      <w:lvlText w:val="•"/>
      <w:lvlJc w:val="left"/>
      <w:pPr>
        <w:ind w:left="2099" w:hanging="182"/>
      </w:pPr>
      <w:rPr>
        <w:rFonts w:hint="default"/>
        <w:lang w:val="fr-FR" w:eastAsia="en-US" w:bidi="ar-SA"/>
      </w:rPr>
    </w:lvl>
    <w:lvl w:ilvl="2" w:tentative="0">
      <w:start w:val="0"/>
      <w:numFmt w:val="bullet"/>
      <w:lvlText w:val="•"/>
      <w:lvlJc w:val="left"/>
      <w:pPr>
        <w:ind w:left="2559" w:hanging="182"/>
      </w:pPr>
      <w:rPr>
        <w:rFonts w:hint="default"/>
        <w:lang w:val="fr-FR" w:eastAsia="en-US" w:bidi="ar-SA"/>
      </w:rPr>
    </w:lvl>
    <w:lvl w:ilvl="3" w:tentative="0">
      <w:start w:val="0"/>
      <w:numFmt w:val="bullet"/>
      <w:lvlText w:val="•"/>
      <w:lvlJc w:val="left"/>
      <w:pPr>
        <w:ind w:left="3018" w:hanging="182"/>
      </w:pPr>
      <w:rPr>
        <w:rFonts w:hint="default"/>
        <w:lang w:val="fr-FR" w:eastAsia="en-US" w:bidi="ar-SA"/>
      </w:rPr>
    </w:lvl>
    <w:lvl w:ilvl="4" w:tentative="0">
      <w:start w:val="0"/>
      <w:numFmt w:val="bullet"/>
      <w:lvlText w:val="•"/>
      <w:lvlJc w:val="left"/>
      <w:pPr>
        <w:ind w:left="3478" w:hanging="182"/>
      </w:pPr>
      <w:rPr>
        <w:rFonts w:hint="default"/>
        <w:lang w:val="fr-FR" w:eastAsia="en-US" w:bidi="ar-SA"/>
      </w:rPr>
    </w:lvl>
    <w:lvl w:ilvl="5" w:tentative="0">
      <w:start w:val="0"/>
      <w:numFmt w:val="bullet"/>
      <w:lvlText w:val="•"/>
      <w:lvlJc w:val="left"/>
      <w:pPr>
        <w:ind w:left="3937" w:hanging="182"/>
      </w:pPr>
      <w:rPr>
        <w:rFonts w:hint="default"/>
        <w:lang w:val="fr-FR" w:eastAsia="en-US" w:bidi="ar-SA"/>
      </w:rPr>
    </w:lvl>
    <w:lvl w:ilvl="6" w:tentative="0">
      <w:start w:val="0"/>
      <w:numFmt w:val="bullet"/>
      <w:lvlText w:val="•"/>
      <w:lvlJc w:val="left"/>
      <w:pPr>
        <w:ind w:left="4397" w:hanging="182"/>
      </w:pPr>
      <w:rPr>
        <w:rFonts w:hint="default"/>
        <w:lang w:val="fr-FR" w:eastAsia="en-US" w:bidi="ar-SA"/>
      </w:rPr>
    </w:lvl>
    <w:lvl w:ilvl="7" w:tentative="0">
      <w:start w:val="0"/>
      <w:numFmt w:val="bullet"/>
      <w:lvlText w:val="•"/>
      <w:lvlJc w:val="left"/>
      <w:pPr>
        <w:ind w:left="4856" w:hanging="182"/>
      </w:pPr>
      <w:rPr>
        <w:rFonts w:hint="default"/>
        <w:lang w:val="fr-FR" w:eastAsia="en-US" w:bidi="ar-SA"/>
      </w:rPr>
    </w:lvl>
    <w:lvl w:ilvl="8" w:tentative="0">
      <w:start w:val="0"/>
      <w:numFmt w:val="bullet"/>
      <w:lvlText w:val="•"/>
      <w:lvlJc w:val="left"/>
      <w:pPr>
        <w:ind w:left="5316" w:hanging="182"/>
      </w:pPr>
      <w:rPr>
        <w:rFonts w:hint="default"/>
        <w:lang w:val="fr-FR" w:eastAsia="en-US" w:bidi="ar-SA"/>
      </w:rPr>
    </w:lvl>
  </w:abstractNum>
  <w:abstractNum w:abstractNumId="8">
    <w:nsid w:val="D776CD83"/>
    <w:multiLevelType w:val="singleLevel"/>
    <w:tmpl w:val="D776CD83"/>
    <w:lvl w:ilvl="0" w:tentative="0">
      <w:start w:val="1"/>
      <w:numFmt w:val="decimal"/>
      <w:lvlText w:val="%1."/>
      <w:lvlJc w:val="left"/>
      <w:pPr>
        <w:tabs>
          <w:tab w:val="left" w:pos="312"/>
        </w:tabs>
      </w:pPr>
    </w:lvl>
  </w:abstractNum>
  <w:abstractNum w:abstractNumId="9">
    <w:nsid w:val="DFD778CB"/>
    <w:multiLevelType w:val="multilevel"/>
    <w:tmpl w:val="DFD778CB"/>
    <w:lvl w:ilvl="0" w:tentative="0">
      <w:start w:val="0"/>
      <w:numFmt w:val="bullet"/>
      <w:lvlText w:val="☐"/>
      <w:lvlJc w:val="left"/>
      <w:pPr>
        <w:ind w:left="1647" w:hanging="182"/>
      </w:pPr>
      <w:rPr>
        <w:rFonts w:hint="default" w:ascii="宋体" w:hAnsi="宋体" w:eastAsia="宋体" w:cs="宋体"/>
        <w:b w:val="0"/>
        <w:bCs w:val="0"/>
        <w:i w:val="0"/>
        <w:iCs w:val="0"/>
        <w:spacing w:val="-3"/>
        <w:w w:val="99"/>
        <w:sz w:val="16"/>
        <w:szCs w:val="16"/>
        <w:lang w:val="fr-FR" w:eastAsia="en-US" w:bidi="ar-SA"/>
      </w:rPr>
    </w:lvl>
    <w:lvl w:ilvl="1" w:tentative="0">
      <w:start w:val="0"/>
      <w:numFmt w:val="bullet"/>
      <w:lvlText w:val="•"/>
      <w:lvlJc w:val="left"/>
      <w:pPr>
        <w:ind w:left="2099" w:hanging="182"/>
      </w:pPr>
      <w:rPr>
        <w:rFonts w:hint="default"/>
        <w:lang w:val="fr-FR" w:eastAsia="en-US" w:bidi="ar-SA"/>
      </w:rPr>
    </w:lvl>
    <w:lvl w:ilvl="2" w:tentative="0">
      <w:start w:val="0"/>
      <w:numFmt w:val="bullet"/>
      <w:lvlText w:val="•"/>
      <w:lvlJc w:val="left"/>
      <w:pPr>
        <w:ind w:left="2559" w:hanging="182"/>
      </w:pPr>
      <w:rPr>
        <w:rFonts w:hint="default"/>
        <w:lang w:val="fr-FR" w:eastAsia="en-US" w:bidi="ar-SA"/>
      </w:rPr>
    </w:lvl>
    <w:lvl w:ilvl="3" w:tentative="0">
      <w:start w:val="0"/>
      <w:numFmt w:val="bullet"/>
      <w:lvlText w:val="•"/>
      <w:lvlJc w:val="left"/>
      <w:pPr>
        <w:ind w:left="3018" w:hanging="182"/>
      </w:pPr>
      <w:rPr>
        <w:rFonts w:hint="default"/>
        <w:lang w:val="fr-FR" w:eastAsia="en-US" w:bidi="ar-SA"/>
      </w:rPr>
    </w:lvl>
    <w:lvl w:ilvl="4" w:tentative="0">
      <w:start w:val="0"/>
      <w:numFmt w:val="bullet"/>
      <w:lvlText w:val="•"/>
      <w:lvlJc w:val="left"/>
      <w:pPr>
        <w:ind w:left="3478" w:hanging="182"/>
      </w:pPr>
      <w:rPr>
        <w:rFonts w:hint="default"/>
        <w:lang w:val="fr-FR" w:eastAsia="en-US" w:bidi="ar-SA"/>
      </w:rPr>
    </w:lvl>
    <w:lvl w:ilvl="5" w:tentative="0">
      <w:start w:val="0"/>
      <w:numFmt w:val="bullet"/>
      <w:lvlText w:val="•"/>
      <w:lvlJc w:val="left"/>
      <w:pPr>
        <w:ind w:left="3937" w:hanging="182"/>
      </w:pPr>
      <w:rPr>
        <w:rFonts w:hint="default"/>
        <w:lang w:val="fr-FR" w:eastAsia="en-US" w:bidi="ar-SA"/>
      </w:rPr>
    </w:lvl>
    <w:lvl w:ilvl="6" w:tentative="0">
      <w:start w:val="0"/>
      <w:numFmt w:val="bullet"/>
      <w:lvlText w:val="•"/>
      <w:lvlJc w:val="left"/>
      <w:pPr>
        <w:ind w:left="4397" w:hanging="182"/>
      </w:pPr>
      <w:rPr>
        <w:rFonts w:hint="default"/>
        <w:lang w:val="fr-FR" w:eastAsia="en-US" w:bidi="ar-SA"/>
      </w:rPr>
    </w:lvl>
    <w:lvl w:ilvl="7" w:tentative="0">
      <w:start w:val="0"/>
      <w:numFmt w:val="bullet"/>
      <w:lvlText w:val="•"/>
      <w:lvlJc w:val="left"/>
      <w:pPr>
        <w:ind w:left="4856" w:hanging="182"/>
      </w:pPr>
      <w:rPr>
        <w:rFonts w:hint="default"/>
        <w:lang w:val="fr-FR" w:eastAsia="en-US" w:bidi="ar-SA"/>
      </w:rPr>
    </w:lvl>
    <w:lvl w:ilvl="8" w:tentative="0">
      <w:start w:val="0"/>
      <w:numFmt w:val="bullet"/>
      <w:lvlText w:val="•"/>
      <w:lvlJc w:val="left"/>
      <w:pPr>
        <w:ind w:left="5316" w:hanging="182"/>
      </w:pPr>
      <w:rPr>
        <w:rFonts w:hint="default"/>
        <w:lang w:val="fr-FR" w:eastAsia="en-US" w:bidi="ar-SA"/>
      </w:rPr>
    </w:lvl>
  </w:abstractNum>
  <w:abstractNum w:abstractNumId="10">
    <w:nsid w:val="E3DEE91D"/>
    <w:multiLevelType w:val="singleLevel"/>
    <w:tmpl w:val="E3DEE91D"/>
    <w:lvl w:ilvl="0" w:tentative="0">
      <w:start w:val="1"/>
      <w:numFmt w:val="lowerLetter"/>
      <w:suff w:val="space"/>
      <w:lvlText w:val="%1)"/>
      <w:lvlJc w:val="left"/>
      <w:pPr>
        <w:ind w:left="210" w:leftChars="0" w:firstLine="0" w:firstLineChars="0"/>
      </w:pPr>
    </w:lvl>
  </w:abstractNum>
  <w:abstractNum w:abstractNumId="11">
    <w:nsid w:val="ECFF245E"/>
    <w:multiLevelType w:val="multilevel"/>
    <w:tmpl w:val="ECFF245E"/>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12">
    <w:nsid w:val="EEDDE161"/>
    <w:multiLevelType w:val="multilevel"/>
    <w:tmpl w:val="EEDDE161"/>
    <w:lvl w:ilvl="0" w:tentative="0">
      <w:start w:val="0"/>
      <w:numFmt w:val="bullet"/>
      <w:lvlText w:val="☐"/>
      <w:lvlJc w:val="left"/>
      <w:pPr>
        <w:ind w:left="419"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657" w:hanging="182"/>
      </w:pPr>
      <w:rPr>
        <w:rFonts w:hint="default"/>
        <w:lang w:val="fr-FR" w:eastAsia="en-US" w:bidi="ar-SA"/>
      </w:rPr>
    </w:lvl>
    <w:lvl w:ilvl="2" w:tentative="0">
      <w:start w:val="0"/>
      <w:numFmt w:val="bullet"/>
      <w:lvlText w:val="•"/>
      <w:lvlJc w:val="left"/>
      <w:pPr>
        <w:ind w:left="894" w:hanging="182"/>
      </w:pPr>
      <w:rPr>
        <w:rFonts w:hint="default"/>
        <w:lang w:val="fr-FR" w:eastAsia="en-US" w:bidi="ar-SA"/>
      </w:rPr>
    </w:lvl>
    <w:lvl w:ilvl="3" w:tentative="0">
      <w:start w:val="0"/>
      <w:numFmt w:val="bullet"/>
      <w:lvlText w:val="•"/>
      <w:lvlJc w:val="left"/>
      <w:pPr>
        <w:ind w:left="1132" w:hanging="182"/>
      </w:pPr>
      <w:rPr>
        <w:rFonts w:hint="default"/>
        <w:lang w:val="fr-FR" w:eastAsia="en-US" w:bidi="ar-SA"/>
      </w:rPr>
    </w:lvl>
    <w:lvl w:ilvl="4" w:tentative="0">
      <w:start w:val="0"/>
      <w:numFmt w:val="bullet"/>
      <w:lvlText w:val="•"/>
      <w:lvlJc w:val="left"/>
      <w:pPr>
        <w:ind w:left="1369" w:hanging="182"/>
      </w:pPr>
      <w:rPr>
        <w:rFonts w:hint="default"/>
        <w:lang w:val="fr-FR" w:eastAsia="en-US" w:bidi="ar-SA"/>
      </w:rPr>
    </w:lvl>
    <w:lvl w:ilvl="5" w:tentative="0">
      <w:start w:val="0"/>
      <w:numFmt w:val="bullet"/>
      <w:lvlText w:val="•"/>
      <w:lvlJc w:val="left"/>
      <w:pPr>
        <w:ind w:left="1607" w:hanging="182"/>
      </w:pPr>
      <w:rPr>
        <w:rFonts w:hint="default"/>
        <w:lang w:val="fr-FR" w:eastAsia="en-US" w:bidi="ar-SA"/>
      </w:rPr>
    </w:lvl>
    <w:lvl w:ilvl="6" w:tentative="0">
      <w:start w:val="0"/>
      <w:numFmt w:val="bullet"/>
      <w:lvlText w:val="•"/>
      <w:lvlJc w:val="left"/>
      <w:pPr>
        <w:ind w:left="1844" w:hanging="182"/>
      </w:pPr>
      <w:rPr>
        <w:rFonts w:hint="default"/>
        <w:lang w:val="fr-FR" w:eastAsia="en-US" w:bidi="ar-SA"/>
      </w:rPr>
    </w:lvl>
    <w:lvl w:ilvl="7" w:tentative="0">
      <w:start w:val="0"/>
      <w:numFmt w:val="bullet"/>
      <w:lvlText w:val="•"/>
      <w:lvlJc w:val="left"/>
      <w:pPr>
        <w:ind w:left="2081" w:hanging="182"/>
      </w:pPr>
      <w:rPr>
        <w:rFonts w:hint="default"/>
        <w:lang w:val="fr-FR" w:eastAsia="en-US" w:bidi="ar-SA"/>
      </w:rPr>
    </w:lvl>
    <w:lvl w:ilvl="8" w:tentative="0">
      <w:start w:val="0"/>
      <w:numFmt w:val="bullet"/>
      <w:lvlText w:val="•"/>
      <w:lvlJc w:val="left"/>
      <w:pPr>
        <w:ind w:left="2319" w:hanging="182"/>
      </w:pPr>
      <w:rPr>
        <w:rFonts w:hint="default"/>
        <w:lang w:val="fr-FR" w:eastAsia="en-US" w:bidi="ar-SA"/>
      </w:rPr>
    </w:lvl>
  </w:abstractNum>
  <w:abstractNum w:abstractNumId="13">
    <w:nsid w:val="EF7F8230"/>
    <w:multiLevelType w:val="multilevel"/>
    <w:tmpl w:val="EF7F8230"/>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14">
    <w:nsid w:val="F3B45CB2"/>
    <w:multiLevelType w:val="multilevel"/>
    <w:tmpl w:val="F3B45CB2"/>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15">
    <w:nsid w:val="F6EED408"/>
    <w:multiLevelType w:val="multilevel"/>
    <w:tmpl w:val="F6EED408"/>
    <w:lvl w:ilvl="0" w:tentative="0">
      <w:start w:val="0"/>
      <w:numFmt w:val="bullet"/>
      <w:lvlText w:val="☐"/>
      <w:lvlJc w:val="left"/>
      <w:pPr>
        <w:ind w:left="419"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657" w:hanging="182"/>
      </w:pPr>
      <w:rPr>
        <w:rFonts w:hint="default"/>
        <w:lang w:val="fr-FR" w:eastAsia="en-US" w:bidi="ar-SA"/>
      </w:rPr>
    </w:lvl>
    <w:lvl w:ilvl="2" w:tentative="0">
      <w:start w:val="0"/>
      <w:numFmt w:val="bullet"/>
      <w:lvlText w:val="•"/>
      <w:lvlJc w:val="left"/>
      <w:pPr>
        <w:ind w:left="894" w:hanging="182"/>
      </w:pPr>
      <w:rPr>
        <w:rFonts w:hint="default"/>
        <w:lang w:val="fr-FR" w:eastAsia="en-US" w:bidi="ar-SA"/>
      </w:rPr>
    </w:lvl>
    <w:lvl w:ilvl="3" w:tentative="0">
      <w:start w:val="0"/>
      <w:numFmt w:val="bullet"/>
      <w:lvlText w:val="•"/>
      <w:lvlJc w:val="left"/>
      <w:pPr>
        <w:ind w:left="1132" w:hanging="182"/>
      </w:pPr>
      <w:rPr>
        <w:rFonts w:hint="default"/>
        <w:lang w:val="fr-FR" w:eastAsia="en-US" w:bidi="ar-SA"/>
      </w:rPr>
    </w:lvl>
    <w:lvl w:ilvl="4" w:tentative="0">
      <w:start w:val="0"/>
      <w:numFmt w:val="bullet"/>
      <w:lvlText w:val="•"/>
      <w:lvlJc w:val="left"/>
      <w:pPr>
        <w:ind w:left="1369" w:hanging="182"/>
      </w:pPr>
      <w:rPr>
        <w:rFonts w:hint="default"/>
        <w:lang w:val="fr-FR" w:eastAsia="en-US" w:bidi="ar-SA"/>
      </w:rPr>
    </w:lvl>
    <w:lvl w:ilvl="5" w:tentative="0">
      <w:start w:val="0"/>
      <w:numFmt w:val="bullet"/>
      <w:lvlText w:val="•"/>
      <w:lvlJc w:val="left"/>
      <w:pPr>
        <w:ind w:left="1607" w:hanging="182"/>
      </w:pPr>
      <w:rPr>
        <w:rFonts w:hint="default"/>
        <w:lang w:val="fr-FR" w:eastAsia="en-US" w:bidi="ar-SA"/>
      </w:rPr>
    </w:lvl>
    <w:lvl w:ilvl="6" w:tentative="0">
      <w:start w:val="0"/>
      <w:numFmt w:val="bullet"/>
      <w:lvlText w:val="•"/>
      <w:lvlJc w:val="left"/>
      <w:pPr>
        <w:ind w:left="1844" w:hanging="182"/>
      </w:pPr>
      <w:rPr>
        <w:rFonts w:hint="default"/>
        <w:lang w:val="fr-FR" w:eastAsia="en-US" w:bidi="ar-SA"/>
      </w:rPr>
    </w:lvl>
    <w:lvl w:ilvl="7" w:tentative="0">
      <w:start w:val="0"/>
      <w:numFmt w:val="bullet"/>
      <w:lvlText w:val="•"/>
      <w:lvlJc w:val="left"/>
      <w:pPr>
        <w:ind w:left="2081" w:hanging="182"/>
      </w:pPr>
      <w:rPr>
        <w:rFonts w:hint="default"/>
        <w:lang w:val="fr-FR" w:eastAsia="en-US" w:bidi="ar-SA"/>
      </w:rPr>
    </w:lvl>
    <w:lvl w:ilvl="8" w:tentative="0">
      <w:start w:val="0"/>
      <w:numFmt w:val="bullet"/>
      <w:lvlText w:val="•"/>
      <w:lvlJc w:val="left"/>
      <w:pPr>
        <w:ind w:left="2319" w:hanging="182"/>
      </w:pPr>
      <w:rPr>
        <w:rFonts w:hint="default"/>
        <w:lang w:val="fr-FR" w:eastAsia="en-US" w:bidi="ar-SA"/>
      </w:rPr>
    </w:lvl>
  </w:abstractNum>
  <w:abstractNum w:abstractNumId="16">
    <w:nsid w:val="FBAB6C14"/>
    <w:multiLevelType w:val="multilevel"/>
    <w:tmpl w:val="FBAB6C14"/>
    <w:lvl w:ilvl="0" w:tentative="0">
      <w:start w:val="0"/>
      <w:numFmt w:val="bullet"/>
      <w:lvlText w:val="☐"/>
      <w:lvlJc w:val="left"/>
      <w:pPr>
        <w:ind w:left="419"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657" w:hanging="182"/>
      </w:pPr>
      <w:rPr>
        <w:rFonts w:hint="default"/>
        <w:lang w:val="fr-FR" w:eastAsia="en-US" w:bidi="ar-SA"/>
      </w:rPr>
    </w:lvl>
    <w:lvl w:ilvl="2" w:tentative="0">
      <w:start w:val="0"/>
      <w:numFmt w:val="bullet"/>
      <w:lvlText w:val="•"/>
      <w:lvlJc w:val="left"/>
      <w:pPr>
        <w:ind w:left="894" w:hanging="182"/>
      </w:pPr>
      <w:rPr>
        <w:rFonts w:hint="default"/>
        <w:lang w:val="fr-FR" w:eastAsia="en-US" w:bidi="ar-SA"/>
      </w:rPr>
    </w:lvl>
    <w:lvl w:ilvl="3" w:tentative="0">
      <w:start w:val="0"/>
      <w:numFmt w:val="bullet"/>
      <w:lvlText w:val="•"/>
      <w:lvlJc w:val="left"/>
      <w:pPr>
        <w:ind w:left="1132" w:hanging="182"/>
      </w:pPr>
      <w:rPr>
        <w:rFonts w:hint="default"/>
        <w:lang w:val="fr-FR" w:eastAsia="en-US" w:bidi="ar-SA"/>
      </w:rPr>
    </w:lvl>
    <w:lvl w:ilvl="4" w:tentative="0">
      <w:start w:val="0"/>
      <w:numFmt w:val="bullet"/>
      <w:lvlText w:val="•"/>
      <w:lvlJc w:val="left"/>
      <w:pPr>
        <w:ind w:left="1369" w:hanging="182"/>
      </w:pPr>
      <w:rPr>
        <w:rFonts w:hint="default"/>
        <w:lang w:val="fr-FR" w:eastAsia="en-US" w:bidi="ar-SA"/>
      </w:rPr>
    </w:lvl>
    <w:lvl w:ilvl="5" w:tentative="0">
      <w:start w:val="0"/>
      <w:numFmt w:val="bullet"/>
      <w:lvlText w:val="•"/>
      <w:lvlJc w:val="left"/>
      <w:pPr>
        <w:ind w:left="1607" w:hanging="182"/>
      </w:pPr>
      <w:rPr>
        <w:rFonts w:hint="default"/>
        <w:lang w:val="fr-FR" w:eastAsia="en-US" w:bidi="ar-SA"/>
      </w:rPr>
    </w:lvl>
    <w:lvl w:ilvl="6" w:tentative="0">
      <w:start w:val="0"/>
      <w:numFmt w:val="bullet"/>
      <w:lvlText w:val="•"/>
      <w:lvlJc w:val="left"/>
      <w:pPr>
        <w:ind w:left="1844" w:hanging="182"/>
      </w:pPr>
      <w:rPr>
        <w:rFonts w:hint="default"/>
        <w:lang w:val="fr-FR" w:eastAsia="en-US" w:bidi="ar-SA"/>
      </w:rPr>
    </w:lvl>
    <w:lvl w:ilvl="7" w:tentative="0">
      <w:start w:val="0"/>
      <w:numFmt w:val="bullet"/>
      <w:lvlText w:val="•"/>
      <w:lvlJc w:val="left"/>
      <w:pPr>
        <w:ind w:left="2081" w:hanging="182"/>
      </w:pPr>
      <w:rPr>
        <w:rFonts w:hint="default"/>
        <w:lang w:val="fr-FR" w:eastAsia="en-US" w:bidi="ar-SA"/>
      </w:rPr>
    </w:lvl>
    <w:lvl w:ilvl="8" w:tentative="0">
      <w:start w:val="0"/>
      <w:numFmt w:val="bullet"/>
      <w:lvlText w:val="•"/>
      <w:lvlJc w:val="left"/>
      <w:pPr>
        <w:ind w:left="2319" w:hanging="182"/>
      </w:pPr>
      <w:rPr>
        <w:rFonts w:hint="default"/>
        <w:lang w:val="fr-FR" w:eastAsia="en-US" w:bidi="ar-SA"/>
      </w:rPr>
    </w:lvl>
  </w:abstractNum>
  <w:abstractNum w:abstractNumId="17">
    <w:nsid w:val="FBAE4C7C"/>
    <w:multiLevelType w:val="multilevel"/>
    <w:tmpl w:val="FBAE4C7C"/>
    <w:lvl w:ilvl="0" w:tentative="0">
      <w:start w:val="0"/>
      <w:numFmt w:val="bullet"/>
      <w:lvlText w:val="☐"/>
      <w:lvlJc w:val="left"/>
      <w:pPr>
        <w:ind w:left="292"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356" w:hanging="182"/>
      </w:pPr>
      <w:rPr>
        <w:rFonts w:hint="default"/>
        <w:lang w:val="fr-FR" w:eastAsia="en-US" w:bidi="ar-SA"/>
      </w:rPr>
    </w:lvl>
    <w:lvl w:ilvl="2" w:tentative="0">
      <w:start w:val="0"/>
      <w:numFmt w:val="bullet"/>
      <w:lvlText w:val="•"/>
      <w:lvlJc w:val="left"/>
      <w:pPr>
        <w:ind w:left="413" w:hanging="182"/>
      </w:pPr>
      <w:rPr>
        <w:rFonts w:hint="default"/>
        <w:lang w:val="fr-FR" w:eastAsia="en-US" w:bidi="ar-SA"/>
      </w:rPr>
    </w:lvl>
    <w:lvl w:ilvl="3" w:tentative="0">
      <w:start w:val="0"/>
      <w:numFmt w:val="bullet"/>
      <w:lvlText w:val="•"/>
      <w:lvlJc w:val="left"/>
      <w:pPr>
        <w:ind w:left="470" w:hanging="182"/>
      </w:pPr>
      <w:rPr>
        <w:rFonts w:hint="default"/>
        <w:lang w:val="fr-FR" w:eastAsia="en-US" w:bidi="ar-SA"/>
      </w:rPr>
    </w:lvl>
    <w:lvl w:ilvl="4" w:tentative="0">
      <w:start w:val="0"/>
      <w:numFmt w:val="bullet"/>
      <w:lvlText w:val="•"/>
      <w:lvlJc w:val="left"/>
      <w:pPr>
        <w:ind w:left="526" w:hanging="182"/>
      </w:pPr>
      <w:rPr>
        <w:rFonts w:hint="default"/>
        <w:lang w:val="fr-FR" w:eastAsia="en-US" w:bidi="ar-SA"/>
      </w:rPr>
    </w:lvl>
    <w:lvl w:ilvl="5" w:tentative="0">
      <w:start w:val="0"/>
      <w:numFmt w:val="bullet"/>
      <w:lvlText w:val="•"/>
      <w:lvlJc w:val="left"/>
      <w:pPr>
        <w:ind w:left="583" w:hanging="182"/>
      </w:pPr>
      <w:rPr>
        <w:rFonts w:hint="default"/>
        <w:lang w:val="fr-FR" w:eastAsia="en-US" w:bidi="ar-SA"/>
      </w:rPr>
    </w:lvl>
    <w:lvl w:ilvl="6" w:tentative="0">
      <w:start w:val="0"/>
      <w:numFmt w:val="bullet"/>
      <w:lvlText w:val="•"/>
      <w:lvlJc w:val="left"/>
      <w:pPr>
        <w:ind w:left="640" w:hanging="182"/>
      </w:pPr>
      <w:rPr>
        <w:rFonts w:hint="default"/>
        <w:lang w:val="fr-FR" w:eastAsia="en-US" w:bidi="ar-SA"/>
      </w:rPr>
    </w:lvl>
    <w:lvl w:ilvl="7" w:tentative="0">
      <w:start w:val="0"/>
      <w:numFmt w:val="bullet"/>
      <w:lvlText w:val="•"/>
      <w:lvlJc w:val="left"/>
      <w:pPr>
        <w:ind w:left="696" w:hanging="182"/>
      </w:pPr>
      <w:rPr>
        <w:rFonts w:hint="default"/>
        <w:lang w:val="fr-FR" w:eastAsia="en-US" w:bidi="ar-SA"/>
      </w:rPr>
    </w:lvl>
    <w:lvl w:ilvl="8" w:tentative="0">
      <w:start w:val="0"/>
      <w:numFmt w:val="bullet"/>
      <w:lvlText w:val="•"/>
      <w:lvlJc w:val="left"/>
      <w:pPr>
        <w:ind w:left="753" w:hanging="182"/>
      </w:pPr>
      <w:rPr>
        <w:rFonts w:hint="default"/>
        <w:lang w:val="fr-FR" w:eastAsia="en-US" w:bidi="ar-SA"/>
      </w:rPr>
    </w:lvl>
  </w:abstractNum>
  <w:abstractNum w:abstractNumId="18">
    <w:nsid w:val="FE4F6D08"/>
    <w:multiLevelType w:val="multilevel"/>
    <w:tmpl w:val="FE4F6D08"/>
    <w:lvl w:ilvl="0" w:tentative="0">
      <w:start w:val="0"/>
      <w:numFmt w:val="bullet"/>
      <w:lvlText w:val="☐"/>
      <w:lvlJc w:val="left"/>
      <w:pPr>
        <w:ind w:left="1647" w:hanging="182"/>
      </w:pPr>
      <w:rPr>
        <w:rFonts w:hint="default" w:ascii="宋体" w:hAnsi="宋体" w:eastAsia="宋体" w:cs="宋体"/>
        <w:b w:val="0"/>
        <w:bCs w:val="0"/>
        <w:i w:val="0"/>
        <w:iCs w:val="0"/>
        <w:spacing w:val="-3"/>
        <w:w w:val="99"/>
        <w:sz w:val="16"/>
        <w:szCs w:val="16"/>
        <w:lang w:val="fr-FR" w:eastAsia="en-US" w:bidi="ar-SA"/>
      </w:rPr>
    </w:lvl>
    <w:lvl w:ilvl="1" w:tentative="0">
      <w:start w:val="0"/>
      <w:numFmt w:val="bullet"/>
      <w:lvlText w:val="•"/>
      <w:lvlJc w:val="left"/>
      <w:pPr>
        <w:ind w:left="2099" w:hanging="182"/>
      </w:pPr>
      <w:rPr>
        <w:rFonts w:hint="default"/>
        <w:lang w:val="fr-FR" w:eastAsia="en-US" w:bidi="ar-SA"/>
      </w:rPr>
    </w:lvl>
    <w:lvl w:ilvl="2" w:tentative="0">
      <w:start w:val="0"/>
      <w:numFmt w:val="bullet"/>
      <w:lvlText w:val="•"/>
      <w:lvlJc w:val="left"/>
      <w:pPr>
        <w:ind w:left="2559" w:hanging="182"/>
      </w:pPr>
      <w:rPr>
        <w:rFonts w:hint="default"/>
        <w:lang w:val="fr-FR" w:eastAsia="en-US" w:bidi="ar-SA"/>
      </w:rPr>
    </w:lvl>
    <w:lvl w:ilvl="3" w:tentative="0">
      <w:start w:val="0"/>
      <w:numFmt w:val="bullet"/>
      <w:lvlText w:val="•"/>
      <w:lvlJc w:val="left"/>
      <w:pPr>
        <w:ind w:left="3018" w:hanging="182"/>
      </w:pPr>
      <w:rPr>
        <w:rFonts w:hint="default"/>
        <w:lang w:val="fr-FR" w:eastAsia="en-US" w:bidi="ar-SA"/>
      </w:rPr>
    </w:lvl>
    <w:lvl w:ilvl="4" w:tentative="0">
      <w:start w:val="0"/>
      <w:numFmt w:val="bullet"/>
      <w:lvlText w:val="•"/>
      <w:lvlJc w:val="left"/>
      <w:pPr>
        <w:ind w:left="3478" w:hanging="182"/>
      </w:pPr>
      <w:rPr>
        <w:rFonts w:hint="default"/>
        <w:lang w:val="fr-FR" w:eastAsia="en-US" w:bidi="ar-SA"/>
      </w:rPr>
    </w:lvl>
    <w:lvl w:ilvl="5" w:tentative="0">
      <w:start w:val="0"/>
      <w:numFmt w:val="bullet"/>
      <w:lvlText w:val="•"/>
      <w:lvlJc w:val="left"/>
      <w:pPr>
        <w:ind w:left="3937" w:hanging="182"/>
      </w:pPr>
      <w:rPr>
        <w:rFonts w:hint="default"/>
        <w:lang w:val="fr-FR" w:eastAsia="en-US" w:bidi="ar-SA"/>
      </w:rPr>
    </w:lvl>
    <w:lvl w:ilvl="6" w:tentative="0">
      <w:start w:val="0"/>
      <w:numFmt w:val="bullet"/>
      <w:lvlText w:val="•"/>
      <w:lvlJc w:val="left"/>
      <w:pPr>
        <w:ind w:left="4397" w:hanging="182"/>
      </w:pPr>
      <w:rPr>
        <w:rFonts w:hint="default"/>
        <w:lang w:val="fr-FR" w:eastAsia="en-US" w:bidi="ar-SA"/>
      </w:rPr>
    </w:lvl>
    <w:lvl w:ilvl="7" w:tentative="0">
      <w:start w:val="0"/>
      <w:numFmt w:val="bullet"/>
      <w:lvlText w:val="•"/>
      <w:lvlJc w:val="left"/>
      <w:pPr>
        <w:ind w:left="4856" w:hanging="182"/>
      </w:pPr>
      <w:rPr>
        <w:rFonts w:hint="default"/>
        <w:lang w:val="fr-FR" w:eastAsia="en-US" w:bidi="ar-SA"/>
      </w:rPr>
    </w:lvl>
    <w:lvl w:ilvl="8" w:tentative="0">
      <w:start w:val="0"/>
      <w:numFmt w:val="bullet"/>
      <w:lvlText w:val="•"/>
      <w:lvlJc w:val="left"/>
      <w:pPr>
        <w:ind w:left="5316" w:hanging="182"/>
      </w:pPr>
      <w:rPr>
        <w:rFonts w:hint="default"/>
        <w:lang w:val="fr-FR" w:eastAsia="en-US" w:bidi="ar-SA"/>
      </w:rPr>
    </w:lvl>
  </w:abstractNum>
  <w:abstractNum w:abstractNumId="19">
    <w:nsid w:val="FEED8E23"/>
    <w:multiLevelType w:val="multilevel"/>
    <w:tmpl w:val="FEED8E23"/>
    <w:lvl w:ilvl="0" w:tentative="0">
      <w:start w:val="0"/>
      <w:numFmt w:val="bullet"/>
      <w:lvlText w:val="☐"/>
      <w:lvlJc w:val="left"/>
      <w:pPr>
        <w:ind w:left="292"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356" w:hanging="182"/>
      </w:pPr>
      <w:rPr>
        <w:rFonts w:hint="default"/>
        <w:lang w:val="fr-FR" w:eastAsia="en-US" w:bidi="ar-SA"/>
      </w:rPr>
    </w:lvl>
    <w:lvl w:ilvl="2" w:tentative="0">
      <w:start w:val="0"/>
      <w:numFmt w:val="bullet"/>
      <w:lvlText w:val="•"/>
      <w:lvlJc w:val="left"/>
      <w:pPr>
        <w:ind w:left="413" w:hanging="182"/>
      </w:pPr>
      <w:rPr>
        <w:rFonts w:hint="default"/>
        <w:lang w:val="fr-FR" w:eastAsia="en-US" w:bidi="ar-SA"/>
      </w:rPr>
    </w:lvl>
    <w:lvl w:ilvl="3" w:tentative="0">
      <w:start w:val="0"/>
      <w:numFmt w:val="bullet"/>
      <w:lvlText w:val="•"/>
      <w:lvlJc w:val="left"/>
      <w:pPr>
        <w:ind w:left="470" w:hanging="182"/>
      </w:pPr>
      <w:rPr>
        <w:rFonts w:hint="default"/>
        <w:lang w:val="fr-FR" w:eastAsia="en-US" w:bidi="ar-SA"/>
      </w:rPr>
    </w:lvl>
    <w:lvl w:ilvl="4" w:tentative="0">
      <w:start w:val="0"/>
      <w:numFmt w:val="bullet"/>
      <w:lvlText w:val="•"/>
      <w:lvlJc w:val="left"/>
      <w:pPr>
        <w:ind w:left="526" w:hanging="182"/>
      </w:pPr>
      <w:rPr>
        <w:rFonts w:hint="default"/>
        <w:lang w:val="fr-FR" w:eastAsia="en-US" w:bidi="ar-SA"/>
      </w:rPr>
    </w:lvl>
    <w:lvl w:ilvl="5" w:tentative="0">
      <w:start w:val="0"/>
      <w:numFmt w:val="bullet"/>
      <w:lvlText w:val="•"/>
      <w:lvlJc w:val="left"/>
      <w:pPr>
        <w:ind w:left="583" w:hanging="182"/>
      </w:pPr>
      <w:rPr>
        <w:rFonts w:hint="default"/>
        <w:lang w:val="fr-FR" w:eastAsia="en-US" w:bidi="ar-SA"/>
      </w:rPr>
    </w:lvl>
    <w:lvl w:ilvl="6" w:tentative="0">
      <w:start w:val="0"/>
      <w:numFmt w:val="bullet"/>
      <w:lvlText w:val="•"/>
      <w:lvlJc w:val="left"/>
      <w:pPr>
        <w:ind w:left="640" w:hanging="182"/>
      </w:pPr>
      <w:rPr>
        <w:rFonts w:hint="default"/>
        <w:lang w:val="fr-FR" w:eastAsia="en-US" w:bidi="ar-SA"/>
      </w:rPr>
    </w:lvl>
    <w:lvl w:ilvl="7" w:tentative="0">
      <w:start w:val="0"/>
      <w:numFmt w:val="bullet"/>
      <w:lvlText w:val="•"/>
      <w:lvlJc w:val="left"/>
      <w:pPr>
        <w:ind w:left="696" w:hanging="182"/>
      </w:pPr>
      <w:rPr>
        <w:rFonts w:hint="default"/>
        <w:lang w:val="fr-FR" w:eastAsia="en-US" w:bidi="ar-SA"/>
      </w:rPr>
    </w:lvl>
    <w:lvl w:ilvl="8" w:tentative="0">
      <w:start w:val="0"/>
      <w:numFmt w:val="bullet"/>
      <w:lvlText w:val="•"/>
      <w:lvlJc w:val="left"/>
      <w:pPr>
        <w:ind w:left="753" w:hanging="182"/>
      </w:pPr>
      <w:rPr>
        <w:rFonts w:hint="default"/>
        <w:lang w:val="fr-FR" w:eastAsia="en-US" w:bidi="ar-SA"/>
      </w:rPr>
    </w:lvl>
  </w:abstractNum>
  <w:abstractNum w:abstractNumId="20">
    <w:nsid w:val="FEFEED13"/>
    <w:multiLevelType w:val="multilevel"/>
    <w:tmpl w:val="FEFEED13"/>
    <w:lvl w:ilvl="0" w:tentative="0">
      <w:start w:val="0"/>
      <w:numFmt w:val="bullet"/>
      <w:lvlText w:val="☐"/>
      <w:lvlJc w:val="left"/>
      <w:pPr>
        <w:ind w:left="1647" w:hanging="182"/>
      </w:pPr>
      <w:rPr>
        <w:rFonts w:hint="default" w:ascii="宋体" w:hAnsi="宋体" w:eastAsia="宋体" w:cs="宋体"/>
        <w:b w:val="0"/>
        <w:bCs w:val="0"/>
        <w:i w:val="0"/>
        <w:iCs w:val="0"/>
        <w:spacing w:val="-3"/>
        <w:w w:val="99"/>
        <w:sz w:val="16"/>
        <w:szCs w:val="16"/>
        <w:lang w:val="fr-FR" w:eastAsia="en-US" w:bidi="ar-SA"/>
      </w:rPr>
    </w:lvl>
    <w:lvl w:ilvl="1" w:tentative="0">
      <w:start w:val="0"/>
      <w:numFmt w:val="bullet"/>
      <w:lvlText w:val="•"/>
      <w:lvlJc w:val="left"/>
      <w:pPr>
        <w:ind w:left="2099" w:hanging="182"/>
      </w:pPr>
      <w:rPr>
        <w:rFonts w:hint="default"/>
        <w:lang w:val="fr-FR" w:eastAsia="en-US" w:bidi="ar-SA"/>
      </w:rPr>
    </w:lvl>
    <w:lvl w:ilvl="2" w:tentative="0">
      <w:start w:val="0"/>
      <w:numFmt w:val="bullet"/>
      <w:lvlText w:val="•"/>
      <w:lvlJc w:val="left"/>
      <w:pPr>
        <w:ind w:left="2559" w:hanging="182"/>
      </w:pPr>
      <w:rPr>
        <w:rFonts w:hint="default"/>
        <w:lang w:val="fr-FR" w:eastAsia="en-US" w:bidi="ar-SA"/>
      </w:rPr>
    </w:lvl>
    <w:lvl w:ilvl="3" w:tentative="0">
      <w:start w:val="0"/>
      <w:numFmt w:val="bullet"/>
      <w:lvlText w:val="•"/>
      <w:lvlJc w:val="left"/>
      <w:pPr>
        <w:ind w:left="3018" w:hanging="182"/>
      </w:pPr>
      <w:rPr>
        <w:rFonts w:hint="default"/>
        <w:lang w:val="fr-FR" w:eastAsia="en-US" w:bidi="ar-SA"/>
      </w:rPr>
    </w:lvl>
    <w:lvl w:ilvl="4" w:tentative="0">
      <w:start w:val="0"/>
      <w:numFmt w:val="bullet"/>
      <w:lvlText w:val="•"/>
      <w:lvlJc w:val="left"/>
      <w:pPr>
        <w:ind w:left="3478" w:hanging="182"/>
      </w:pPr>
      <w:rPr>
        <w:rFonts w:hint="default"/>
        <w:lang w:val="fr-FR" w:eastAsia="en-US" w:bidi="ar-SA"/>
      </w:rPr>
    </w:lvl>
    <w:lvl w:ilvl="5" w:tentative="0">
      <w:start w:val="0"/>
      <w:numFmt w:val="bullet"/>
      <w:lvlText w:val="•"/>
      <w:lvlJc w:val="left"/>
      <w:pPr>
        <w:ind w:left="3937" w:hanging="182"/>
      </w:pPr>
      <w:rPr>
        <w:rFonts w:hint="default"/>
        <w:lang w:val="fr-FR" w:eastAsia="en-US" w:bidi="ar-SA"/>
      </w:rPr>
    </w:lvl>
    <w:lvl w:ilvl="6" w:tentative="0">
      <w:start w:val="0"/>
      <w:numFmt w:val="bullet"/>
      <w:lvlText w:val="•"/>
      <w:lvlJc w:val="left"/>
      <w:pPr>
        <w:ind w:left="4397" w:hanging="182"/>
      </w:pPr>
      <w:rPr>
        <w:rFonts w:hint="default"/>
        <w:lang w:val="fr-FR" w:eastAsia="en-US" w:bidi="ar-SA"/>
      </w:rPr>
    </w:lvl>
    <w:lvl w:ilvl="7" w:tentative="0">
      <w:start w:val="0"/>
      <w:numFmt w:val="bullet"/>
      <w:lvlText w:val="•"/>
      <w:lvlJc w:val="left"/>
      <w:pPr>
        <w:ind w:left="4856" w:hanging="182"/>
      </w:pPr>
      <w:rPr>
        <w:rFonts w:hint="default"/>
        <w:lang w:val="fr-FR" w:eastAsia="en-US" w:bidi="ar-SA"/>
      </w:rPr>
    </w:lvl>
    <w:lvl w:ilvl="8" w:tentative="0">
      <w:start w:val="0"/>
      <w:numFmt w:val="bullet"/>
      <w:lvlText w:val="•"/>
      <w:lvlJc w:val="left"/>
      <w:pPr>
        <w:ind w:left="5316" w:hanging="182"/>
      </w:pPr>
      <w:rPr>
        <w:rFonts w:hint="default"/>
        <w:lang w:val="fr-FR" w:eastAsia="en-US" w:bidi="ar-SA"/>
      </w:rPr>
    </w:lvl>
  </w:abstractNum>
  <w:abstractNum w:abstractNumId="21">
    <w:nsid w:val="FF3A0FA5"/>
    <w:multiLevelType w:val="multilevel"/>
    <w:tmpl w:val="FF3A0FA5"/>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22">
    <w:nsid w:val="FF5E63DB"/>
    <w:multiLevelType w:val="singleLevel"/>
    <w:tmpl w:val="FF5E63DB"/>
    <w:lvl w:ilvl="0" w:tentative="0">
      <w:start w:val="1"/>
      <w:numFmt w:val="decimal"/>
      <w:lvlText w:val="%1."/>
      <w:lvlJc w:val="left"/>
      <w:pPr>
        <w:tabs>
          <w:tab w:val="left" w:pos="312"/>
        </w:tabs>
      </w:pPr>
    </w:lvl>
  </w:abstractNum>
  <w:abstractNum w:abstractNumId="23">
    <w:nsid w:val="FF6C0A9E"/>
    <w:multiLevelType w:val="multilevel"/>
    <w:tmpl w:val="FF6C0A9E"/>
    <w:lvl w:ilvl="0" w:tentative="0">
      <w:start w:val="0"/>
      <w:numFmt w:val="bullet"/>
      <w:lvlText w:val="☐"/>
      <w:lvlJc w:val="left"/>
      <w:pPr>
        <w:ind w:left="419"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657" w:hanging="182"/>
      </w:pPr>
      <w:rPr>
        <w:rFonts w:hint="default"/>
        <w:lang w:val="fr-FR" w:eastAsia="en-US" w:bidi="ar-SA"/>
      </w:rPr>
    </w:lvl>
    <w:lvl w:ilvl="2" w:tentative="0">
      <w:start w:val="0"/>
      <w:numFmt w:val="bullet"/>
      <w:lvlText w:val="•"/>
      <w:lvlJc w:val="left"/>
      <w:pPr>
        <w:ind w:left="894" w:hanging="182"/>
      </w:pPr>
      <w:rPr>
        <w:rFonts w:hint="default"/>
        <w:lang w:val="fr-FR" w:eastAsia="en-US" w:bidi="ar-SA"/>
      </w:rPr>
    </w:lvl>
    <w:lvl w:ilvl="3" w:tentative="0">
      <w:start w:val="0"/>
      <w:numFmt w:val="bullet"/>
      <w:lvlText w:val="•"/>
      <w:lvlJc w:val="left"/>
      <w:pPr>
        <w:ind w:left="1132" w:hanging="182"/>
      </w:pPr>
      <w:rPr>
        <w:rFonts w:hint="default"/>
        <w:lang w:val="fr-FR" w:eastAsia="en-US" w:bidi="ar-SA"/>
      </w:rPr>
    </w:lvl>
    <w:lvl w:ilvl="4" w:tentative="0">
      <w:start w:val="0"/>
      <w:numFmt w:val="bullet"/>
      <w:lvlText w:val="•"/>
      <w:lvlJc w:val="left"/>
      <w:pPr>
        <w:ind w:left="1369" w:hanging="182"/>
      </w:pPr>
      <w:rPr>
        <w:rFonts w:hint="default"/>
        <w:lang w:val="fr-FR" w:eastAsia="en-US" w:bidi="ar-SA"/>
      </w:rPr>
    </w:lvl>
    <w:lvl w:ilvl="5" w:tentative="0">
      <w:start w:val="0"/>
      <w:numFmt w:val="bullet"/>
      <w:lvlText w:val="•"/>
      <w:lvlJc w:val="left"/>
      <w:pPr>
        <w:ind w:left="1607" w:hanging="182"/>
      </w:pPr>
      <w:rPr>
        <w:rFonts w:hint="default"/>
        <w:lang w:val="fr-FR" w:eastAsia="en-US" w:bidi="ar-SA"/>
      </w:rPr>
    </w:lvl>
    <w:lvl w:ilvl="6" w:tentative="0">
      <w:start w:val="0"/>
      <w:numFmt w:val="bullet"/>
      <w:lvlText w:val="•"/>
      <w:lvlJc w:val="left"/>
      <w:pPr>
        <w:ind w:left="1844" w:hanging="182"/>
      </w:pPr>
      <w:rPr>
        <w:rFonts w:hint="default"/>
        <w:lang w:val="fr-FR" w:eastAsia="en-US" w:bidi="ar-SA"/>
      </w:rPr>
    </w:lvl>
    <w:lvl w:ilvl="7" w:tentative="0">
      <w:start w:val="0"/>
      <w:numFmt w:val="bullet"/>
      <w:lvlText w:val="•"/>
      <w:lvlJc w:val="left"/>
      <w:pPr>
        <w:ind w:left="2081" w:hanging="182"/>
      </w:pPr>
      <w:rPr>
        <w:rFonts w:hint="default"/>
        <w:lang w:val="fr-FR" w:eastAsia="en-US" w:bidi="ar-SA"/>
      </w:rPr>
    </w:lvl>
    <w:lvl w:ilvl="8" w:tentative="0">
      <w:start w:val="0"/>
      <w:numFmt w:val="bullet"/>
      <w:lvlText w:val="•"/>
      <w:lvlJc w:val="left"/>
      <w:pPr>
        <w:ind w:left="2319" w:hanging="182"/>
      </w:pPr>
      <w:rPr>
        <w:rFonts w:hint="default"/>
        <w:lang w:val="fr-FR" w:eastAsia="en-US" w:bidi="ar-SA"/>
      </w:rPr>
    </w:lvl>
  </w:abstractNum>
  <w:abstractNum w:abstractNumId="24">
    <w:nsid w:val="FF7B46D1"/>
    <w:multiLevelType w:val="multilevel"/>
    <w:tmpl w:val="FF7B46D1"/>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25">
    <w:nsid w:val="FFAF2639"/>
    <w:multiLevelType w:val="multilevel"/>
    <w:tmpl w:val="FFAF2639"/>
    <w:lvl w:ilvl="0" w:tentative="0">
      <w:start w:val="0"/>
      <w:numFmt w:val="bullet"/>
      <w:lvlText w:val="☐"/>
      <w:lvlJc w:val="left"/>
      <w:pPr>
        <w:ind w:left="292"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356" w:hanging="182"/>
      </w:pPr>
      <w:rPr>
        <w:rFonts w:hint="default"/>
        <w:lang w:val="fr-FR" w:eastAsia="en-US" w:bidi="ar-SA"/>
      </w:rPr>
    </w:lvl>
    <w:lvl w:ilvl="2" w:tentative="0">
      <w:start w:val="0"/>
      <w:numFmt w:val="bullet"/>
      <w:lvlText w:val="•"/>
      <w:lvlJc w:val="left"/>
      <w:pPr>
        <w:ind w:left="413" w:hanging="182"/>
      </w:pPr>
      <w:rPr>
        <w:rFonts w:hint="default"/>
        <w:lang w:val="fr-FR" w:eastAsia="en-US" w:bidi="ar-SA"/>
      </w:rPr>
    </w:lvl>
    <w:lvl w:ilvl="3" w:tentative="0">
      <w:start w:val="0"/>
      <w:numFmt w:val="bullet"/>
      <w:lvlText w:val="•"/>
      <w:lvlJc w:val="left"/>
      <w:pPr>
        <w:ind w:left="470" w:hanging="182"/>
      </w:pPr>
      <w:rPr>
        <w:rFonts w:hint="default"/>
        <w:lang w:val="fr-FR" w:eastAsia="en-US" w:bidi="ar-SA"/>
      </w:rPr>
    </w:lvl>
    <w:lvl w:ilvl="4" w:tentative="0">
      <w:start w:val="0"/>
      <w:numFmt w:val="bullet"/>
      <w:lvlText w:val="•"/>
      <w:lvlJc w:val="left"/>
      <w:pPr>
        <w:ind w:left="526" w:hanging="182"/>
      </w:pPr>
      <w:rPr>
        <w:rFonts w:hint="default"/>
        <w:lang w:val="fr-FR" w:eastAsia="en-US" w:bidi="ar-SA"/>
      </w:rPr>
    </w:lvl>
    <w:lvl w:ilvl="5" w:tentative="0">
      <w:start w:val="0"/>
      <w:numFmt w:val="bullet"/>
      <w:lvlText w:val="•"/>
      <w:lvlJc w:val="left"/>
      <w:pPr>
        <w:ind w:left="583" w:hanging="182"/>
      </w:pPr>
      <w:rPr>
        <w:rFonts w:hint="default"/>
        <w:lang w:val="fr-FR" w:eastAsia="en-US" w:bidi="ar-SA"/>
      </w:rPr>
    </w:lvl>
    <w:lvl w:ilvl="6" w:tentative="0">
      <w:start w:val="0"/>
      <w:numFmt w:val="bullet"/>
      <w:lvlText w:val="•"/>
      <w:lvlJc w:val="left"/>
      <w:pPr>
        <w:ind w:left="640" w:hanging="182"/>
      </w:pPr>
      <w:rPr>
        <w:rFonts w:hint="default"/>
        <w:lang w:val="fr-FR" w:eastAsia="en-US" w:bidi="ar-SA"/>
      </w:rPr>
    </w:lvl>
    <w:lvl w:ilvl="7" w:tentative="0">
      <w:start w:val="0"/>
      <w:numFmt w:val="bullet"/>
      <w:lvlText w:val="•"/>
      <w:lvlJc w:val="left"/>
      <w:pPr>
        <w:ind w:left="696" w:hanging="182"/>
      </w:pPr>
      <w:rPr>
        <w:rFonts w:hint="default"/>
        <w:lang w:val="fr-FR" w:eastAsia="en-US" w:bidi="ar-SA"/>
      </w:rPr>
    </w:lvl>
    <w:lvl w:ilvl="8" w:tentative="0">
      <w:start w:val="0"/>
      <w:numFmt w:val="bullet"/>
      <w:lvlText w:val="•"/>
      <w:lvlJc w:val="left"/>
      <w:pPr>
        <w:ind w:left="753" w:hanging="182"/>
      </w:pPr>
      <w:rPr>
        <w:rFonts w:hint="default"/>
        <w:lang w:val="fr-FR" w:eastAsia="en-US" w:bidi="ar-SA"/>
      </w:rPr>
    </w:lvl>
  </w:abstractNum>
  <w:abstractNum w:abstractNumId="26">
    <w:nsid w:val="FFD4B454"/>
    <w:multiLevelType w:val="multilevel"/>
    <w:tmpl w:val="FFD4B454"/>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27">
    <w:nsid w:val="FFF2460B"/>
    <w:multiLevelType w:val="multilevel"/>
    <w:tmpl w:val="FFF2460B"/>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28">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9">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0">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1">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3">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35">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7">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38">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9">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0">
    <w:nsid w:val="3DFE528F"/>
    <w:multiLevelType w:val="multilevel"/>
    <w:tmpl w:val="3DFE528F"/>
    <w:lvl w:ilvl="0" w:tentative="0">
      <w:start w:val="0"/>
      <w:numFmt w:val="bullet"/>
      <w:lvlText w:val="☐"/>
      <w:lvlJc w:val="left"/>
      <w:pPr>
        <w:ind w:left="1647" w:hanging="182"/>
      </w:pPr>
      <w:rPr>
        <w:rFonts w:hint="default" w:ascii="宋体" w:hAnsi="宋体" w:eastAsia="宋体" w:cs="宋体"/>
        <w:b w:val="0"/>
        <w:bCs w:val="0"/>
        <w:i w:val="0"/>
        <w:iCs w:val="0"/>
        <w:spacing w:val="-3"/>
        <w:w w:val="99"/>
        <w:sz w:val="16"/>
        <w:szCs w:val="16"/>
        <w:lang w:val="fr-FR" w:eastAsia="en-US" w:bidi="ar-SA"/>
      </w:rPr>
    </w:lvl>
    <w:lvl w:ilvl="1" w:tentative="0">
      <w:start w:val="0"/>
      <w:numFmt w:val="bullet"/>
      <w:lvlText w:val="•"/>
      <w:lvlJc w:val="left"/>
      <w:pPr>
        <w:ind w:left="2099" w:hanging="182"/>
      </w:pPr>
      <w:rPr>
        <w:rFonts w:hint="default"/>
        <w:lang w:val="fr-FR" w:eastAsia="en-US" w:bidi="ar-SA"/>
      </w:rPr>
    </w:lvl>
    <w:lvl w:ilvl="2" w:tentative="0">
      <w:start w:val="0"/>
      <w:numFmt w:val="bullet"/>
      <w:lvlText w:val="•"/>
      <w:lvlJc w:val="left"/>
      <w:pPr>
        <w:ind w:left="2559" w:hanging="182"/>
      </w:pPr>
      <w:rPr>
        <w:rFonts w:hint="default"/>
        <w:lang w:val="fr-FR" w:eastAsia="en-US" w:bidi="ar-SA"/>
      </w:rPr>
    </w:lvl>
    <w:lvl w:ilvl="3" w:tentative="0">
      <w:start w:val="0"/>
      <w:numFmt w:val="bullet"/>
      <w:lvlText w:val="•"/>
      <w:lvlJc w:val="left"/>
      <w:pPr>
        <w:ind w:left="3018" w:hanging="182"/>
      </w:pPr>
      <w:rPr>
        <w:rFonts w:hint="default"/>
        <w:lang w:val="fr-FR" w:eastAsia="en-US" w:bidi="ar-SA"/>
      </w:rPr>
    </w:lvl>
    <w:lvl w:ilvl="4" w:tentative="0">
      <w:start w:val="0"/>
      <w:numFmt w:val="bullet"/>
      <w:lvlText w:val="•"/>
      <w:lvlJc w:val="left"/>
      <w:pPr>
        <w:ind w:left="3478" w:hanging="182"/>
      </w:pPr>
      <w:rPr>
        <w:rFonts w:hint="default"/>
        <w:lang w:val="fr-FR" w:eastAsia="en-US" w:bidi="ar-SA"/>
      </w:rPr>
    </w:lvl>
    <w:lvl w:ilvl="5" w:tentative="0">
      <w:start w:val="0"/>
      <w:numFmt w:val="bullet"/>
      <w:lvlText w:val="•"/>
      <w:lvlJc w:val="left"/>
      <w:pPr>
        <w:ind w:left="3937" w:hanging="182"/>
      </w:pPr>
      <w:rPr>
        <w:rFonts w:hint="default"/>
        <w:lang w:val="fr-FR" w:eastAsia="en-US" w:bidi="ar-SA"/>
      </w:rPr>
    </w:lvl>
    <w:lvl w:ilvl="6" w:tentative="0">
      <w:start w:val="0"/>
      <w:numFmt w:val="bullet"/>
      <w:lvlText w:val="•"/>
      <w:lvlJc w:val="left"/>
      <w:pPr>
        <w:ind w:left="4397" w:hanging="182"/>
      </w:pPr>
      <w:rPr>
        <w:rFonts w:hint="default"/>
        <w:lang w:val="fr-FR" w:eastAsia="en-US" w:bidi="ar-SA"/>
      </w:rPr>
    </w:lvl>
    <w:lvl w:ilvl="7" w:tentative="0">
      <w:start w:val="0"/>
      <w:numFmt w:val="bullet"/>
      <w:lvlText w:val="•"/>
      <w:lvlJc w:val="left"/>
      <w:pPr>
        <w:ind w:left="4856" w:hanging="182"/>
      </w:pPr>
      <w:rPr>
        <w:rFonts w:hint="default"/>
        <w:lang w:val="fr-FR" w:eastAsia="en-US" w:bidi="ar-SA"/>
      </w:rPr>
    </w:lvl>
    <w:lvl w:ilvl="8" w:tentative="0">
      <w:start w:val="0"/>
      <w:numFmt w:val="bullet"/>
      <w:lvlText w:val="•"/>
      <w:lvlJc w:val="left"/>
      <w:pPr>
        <w:ind w:left="5316" w:hanging="182"/>
      </w:pPr>
      <w:rPr>
        <w:rFonts w:hint="default"/>
        <w:lang w:val="fr-FR" w:eastAsia="en-US" w:bidi="ar-SA"/>
      </w:rPr>
    </w:lvl>
  </w:abstractNum>
  <w:abstractNum w:abstractNumId="41">
    <w:nsid w:val="3FDE745B"/>
    <w:multiLevelType w:val="multilevel"/>
    <w:tmpl w:val="3FDE745B"/>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4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63EB74FC"/>
    <w:multiLevelType w:val="multilevel"/>
    <w:tmpl w:val="63EB74FC"/>
    <w:lvl w:ilvl="0" w:tentative="0">
      <w:start w:val="0"/>
      <w:numFmt w:val="bullet"/>
      <w:lvlText w:val="☐"/>
      <w:lvlJc w:val="left"/>
      <w:pPr>
        <w:ind w:left="419"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657" w:hanging="182"/>
      </w:pPr>
      <w:rPr>
        <w:rFonts w:hint="default"/>
        <w:lang w:val="fr-FR" w:eastAsia="en-US" w:bidi="ar-SA"/>
      </w:rPr>
    </w:lvl>
    <w:lvl w:ilvl="2" w:tentative="0">
      <w:start w:val="0"/>
      <w:numFmt w:val="bullet"/>
      <w:lvlText w:val="•"/>
      <w:lvlJc w:val="left"/>
      <w:pPr>
        <w:ind w:left="894" w:hanging="182"/>
      </w:pPr>
      <w:rPr>
        <w:rFonts w:hint="default"/>
        <w:lang w:val="fr-FR" w:eastAsia="en-US" w:bidi="ar-SA"/>
      </w:rPr>
    </w:lvl>
    <w:lvl w:ilvl="3" w:tentative="0">
      <w:start w:val="0"/>
      <w:numFmt w:val="bullet"/>
      <w:lvlText w:val="•"/>
      <w:lvlJc w:val="left"/>
      <w:pPr>
        <w:ind w:left="1132" w:hanging="182"/>
      </w:pPr>
      <w:rPr>
        <w:rFonts w:hint="default"/>
        <w:lang w:val="fr-FR" w:eastAsia="en-US" w:bidi="ar-SA"/>
      </w:rPr>
    </w:lvl>
    <w:lvl w:ilvl="4" w:tentative="0">
      <w:start w:val="0"/>
      <w:numFmt w:val="bullet"/>
      <w:lvlText w:val="•"/>
      <w:lvlJc w:val="left"/>
      <w:pPr>
        <w:ind w:left="1369" w:hanging="182"/>
      </w:pPr>
      <w:rPr>
        <w:rFonts w:hint="default"/>
        <w:lang w:val="fr-FR" w:eastAsia="en-US" w:bidi="ar-SA"/>
      </w:rPr>
    </w:lvl>
    <w:lvl w:ilvl="5" w:tentative="0">
      <w:start w:val="0"/>
      <w:numFmt w:val="bullet"/>
      <w:lvlText w:val="•"/>
      <w:lvlJc w:val="left"/>
      <w:pPr>
        <w:ind w:left="1607" w:hanging="182"/>
      </w:pPr>
      <w:rPr>
        <w:rFonts w:hint="default"/>
        <w:lang w:val="fr-FR" w:eastAsia="en-US" w:bidi="ar-SA"/>
      </w:rPr>
    </w:lvl>
    <w:lvl w:ilvl="6" w:tentative="0">
      <w:start w:val="0"/>
      <w:numFmt w:val="bullet"/>
      <w:lvlText w:val="•"/>
      <w:lvlJc w:val="left"/>
      <w:pPr>
        <w:ind w:left="1844" w:hanging="182"/>
      </w:pPr>
      <w:rPr>
        <w:rFonts w:hint="default"/>
        <w:lang w:val="fr-FR" w:eastAsia="en-US" w:bidi="ar-SA"/>
      </w:rPr>
    </w:lvl>
    <w:lvl w:ilvl="7" w:tentative="0">
      <w:start w:val="0"/>
      <w:numFmt w:val="bullet"/>
      <w:lvlText w:val="•"/>
      <w:lvlJc w:val="left"/>
      <w:pPr>
        <w:ind w:left="2081" w:hanging="182"/>
      </w:pPr>
      <w:rPr>
        <w:rFonts w:hint="default"/>
        <w:lang w:val="fr-FR" w:eastAsia="en-US" w:bidi="ar-SA"/>
      </w:rPr>
    </w:lvl>
    <w:lvl w:ilvl="8" w:tentative="0">
      <w:start w:val="0"/>
      <w:numFmt w:val="bullet"/>
      <w:lvlText w:val="•"/>
      <w:lvlJc w:val="left"/>
      <w:pPr>
        <w:ind w:left="2319" w:hanging="182"/>
      </w:pPr>
      <w:rPr>
        <w:rFonts w:hint="default"/>
        <w:lang w:val="fr-FR" w:eastAsia="en-US" w:bidi="ar-SA"/>
      </w:rPr>
    </w:lvl>
  </w:abstractNum>
  <w:abstractNum w:abstractNumId="5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5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3">
    <w:nsid w:val="652F80C5"/>
    <w:multiLevelType w:val="singleLevel"/>
    <w:tmpl w:val="652F80C5"/>
    <w:lvl w:ilvl="0" w:tentative="0">
      <w:start w:val="1"/>
      <w:numFmt w:val="lowerLetter"/>
      <w:suff w:val="space"/>
      <w:lvlText w:val="%1)"/>
      <w:lvlJc w:val="left"/>
      <w:pPr>
        <w:ind w:left="210" w:leftChars="0" w:firstLine="0" w:firstLineChars="0"/>
      </w:pPr>
    </w:lvl>
  </w:abstractNum>
  <w:abstractNum w:abstractNumId="5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7DF95DE2"/>
    <w:multiLevelType w:val="multilevel"/>
    <w:tmpl w:val="7DF95DE2"/>
    <w:lvl w:ilvl="0" w:tentative="0">
      <w:start w:val="0"/>
      <w:numFmt w:val="bullet"/>
      <w:lvlText w:val="☐"/>
      <w:lvlJc w:val="left"/>
      <w:pPr>
        <w:ind w:left="1647" w:hanging="182"/>
      </w:pPr>
      <w:rPr>
        <w:rFonts w:hint="default" w:ascii="宋体" w:hAnsi="宋体" w:eastAsia="宋体" w:cs="宋体"/>
        <w:b w:val="0"/>
        <w:bCs w:val="0"/>
        <w:i w:val="0"/>
        <w:iCs w:val="0"/>
        <w:spacing w:val="-3"/>
        <w:w w:val="99"/>
        <w:sz w:val="16"/>
        <w:szCs w:val="16"/>
        <w:lang w:val="fr-FR" w:eastAsia="en-US" w:bidi="ar-SA"/>
      </w:rPr>
    </w:lvl>
    <w:lvl w:ilvl="1" w:tentative="0">
      <w:start w:val="0"/>
      <w:numFmt w:val="bullet"/>
      <w:lvlText w:val="•"/>
      <w:lvlJc w:val="left"/>
      <w:pPr>
        <w:ind w:left="2099" w:hanging="182"/>
      </w:pPr>
      <w:rPr>
        <w:rFonts w:hint="default"/>
        <w:lang w:val="fr-FR" w:eastAsia="en-US" w:bidi="ar-SA"/>
      </w:rPr>
    </w:lvl>
    <w:lvl w:ilvl="2" w:tentative="0">
      <w:start w:val="0"/>
      <w:numFmt w:val="bullet"/>
      <w:lvlText w:val="•"/>
      <w:lvlJc w:val="left"/>
      <w:pPr>
        <w:ind w:left="2559" w:hanging="182"/>
      </w:pPr>
      <w:rPr>
        <w:rFonts w:hint="default"/>
        <w:lang w:val="fr-FR" w:eastAsia="en-US" w:bidi="ar-SA"/>
      </w:rPr>
    </w:lvl>
    <w:lvl w:ilvl="3" w:tentative="0">
      <w:start w:val="0"/>
      <w:numFmt w:val="bullet"/>
      <w:lvlText w:val="•"/>
      <w:lvlJc w:val="left"/>
      <w:pPr>
        <w:ind w:left="3018" w:hanging="182"/>
      </w:pPr>
      <w:rPr>
        <w:rFonts w:hint="default"/>
        <w:lang w:val="fr-FR" w:eastAsia="en-US" w:bidi="ar-SA"/>
      </w:rPr>
    </w:lvl>
    <w:lvl w:ilvl="4" w:tentative="0">
      <w:start w:val="0"/>
      <w:numFmt w:val="bullet"/>
      <w:lvlText w:val="•"/>
      <w:lvlJc w:val="left"/>
      <w:pPr>
        <w:ind w:left="3478" w:hanging="182"/>
      </w:pPr>
      <w:rPr>
        <w:rFonts w:hint="default"/>
        <w:lang w:val="fr-FR" w:eastAsia="en-US" w:bidi="ar-SA"/>
      </w:rPr>
    </w:lvl>
    <w:lvl w:ilvl="5" w:tentative="0">
      <w:start w:val="0"/>
      <w:numFmt w:val="bullet"/>
      <w:lvlText w:val="•"/>
      <w:lvlJc w:val="left"/>
      <w:pPr>
        <w:ind w:left="3937" w:hanging="182"/>
      </w:pPr>
      <w:rPr>
        <w:rFonts w:hint="default"/>
        <w:lang w:val="fr-FR" w:eastAsia="en-US" w:bidi="ar-SA"/>
      </w:rPr>
    </w:lvl>
    <w:lvl w:ilvl="6" w:tentative="0">
      <w:start w:val="0"/>
      <w:numFmt w:val="bullet"/>
      <w:lvlText w:val="•"/>
      <w:lvlJc w:val="left"/>
      <w:pPr>
        <w:ind w:left="4397" w:hanging="182"/>
      </w:pPr>
      <w:rPr>
        <w:rFonts w:hint="default"/>
        <w:lang w:val="fr-FR" w:eastAsia="en-US" w:bidi="ar-SA"/>
      </w:rPr>
    </w:lvl>
    <w:lvl w:ilvl="7" w:tentative="0">
      <w:start w:val="0"/>
      <w:numFmt w:val="bullet"/>
      <w:lvlText w:val="•"/>
      <w:lvlJc w:val="left"/>
      <w:pPr>
        <w:ind w:left="4856" w:hanging="182"/>
      </w:pPr>
      <w:rPr>
        <w:rFonts w:hint="default"/>
        <w:lang w:val="fr-FR" w:eastAsia="en-US" w:bidi="ar-SA"/>
      </w:rPr>
    </w:lvl>
    <w:lvl w:ilvl="8" w:tentative="0">
      <w:start w:val="0"/>
      <w:numFmt w:val="bullet"/>
      <w:lvlText w:val="•"/>
      <w:lvlJc w:val="left"/>
      <w:pPr>
        <w:ind w:left="5316" w:hanging="182"/>
      </w:pPr>
      <w:rPr>
        <w:rFonts w:hint="default"/>
        <w:lang w:val="fr-FR" w:eastAsia="en-US" w:bidi="ar-SA"/>
      </w:rPr>
    </w:lvl>
  </w:abstractNum>
  <w:abstractNum w:abstractNumId="64">
    <w:nsid w:val="7DFA235E"/>
    <w:multiLevelType w:val="multilevel"/>
    <w:tmpl w:val="7DFA235E"/>
    <w:lvl w:ilvl="0" w:tentative="0">
      <w:start w:val="0"/>
      <w:numFmt w:val="bullet"/>
      <w:lvlText w:val="☐"/>
      <w:lvlJc w:val="left"/>
      <w:pPr>
        <w:ind w:left="417"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476" w:hanging="182"/>
      </w:pPr>
      <w:rPr>
        <w:rFonts w:hint="default"/>
        <w:lang w:val="fr-FR" w:eastAsia="en-US" w:bidi="ar-SA"/>
      </w:rPr>
    </w:lvl>
    <w:lvl w:ilvl="2" w:tentative="0">
      <w:start w:val="0"/>
      <w:numFmt w:val="bullet"/>
      <w:lvlText w:val="•"/>
      <w:lvlJc w:val="left"/>
      <w:pPr>
        <w:ind w:left="533" w:hanging="182"/>
      </w:pPr>
      <w:rPr>
        <w:rFonts w:hint="default"/>
        <w:lang w:val="fr-FR" w:eastAsia="en-US" w:bidi="ar-SA"/>
      </w:rPr>
    </w:lvl>
    <w:lvl w:ilvl="3" w:tentative="0">
      <w:start w:val="0"/>
      <w:numFmt w:val="bullet"/>
      <w:lvlText w:val="•"/>
      <w:lvlJc w:val="left"/>
      <w:pPr>
        <w:ind w:left="590" w:hanging="182"/>
      </w:pPr>
      <w:rPr>
        <w:rFonts w:hint="default"/>
        <w:lang w:val="fr-FR" w:eastAsia="en-US" w:bidi="ar-SA"/>
      </w:rPr>
    </w:lvl>
    <w:lvl w:ilvl="4" w:tentative="0">
      <w:start w:val="0"/>
      <w:numFmt w:val="bullet"/>
      <w:lvlText w:val="•"/>
      <w:lvlJc w:val="left"/>
      <w:pPr>
        <w:ind w:left="647" w:hanging="182"/>
      </w:pPr>
      <w:rPr>
        <w:rFonts w:hint="default"/>
        <w:lang w:val="fr-FR" w:eastAsia="en-US" w:bidi="ar-SA"/>
      </w:rPr>
    </w:lvl>
    <w:lvl w:ilvl="5" w:tentative="0">
      <w:start w:val="0"/>
      <w:numFmt w:val="bullet"/>
      <w:lvlText w:val="•"/>
      <w:lvlJc w:val="left"/>
      <w:pPr>
        <w:ind w:left="704" w:hanging="182"/>
      </w:pPr>
      <w:rPr>
        <w:rFonts w:hint="default"/>
        <w:lang w:val="fr-FR" w:eastAsia="en-US" w:bidi="ar-SA"/>
      </w:rPr>
    </w:lvl>
    <w:lvl w:ilvl="6" w:tentative="0">
      <w:start w:val="0"/>
      <w:numFmt w:val="bullet"/>
      <w:lvlText w:val="•"/>
      <w:lvlJc w:val="left"/>
      <w:pPr>
        <w:ind w:left="761" w:hanging="182"/>
      </w:pPr>
      <w:rPr>
        <w:rFonts w:hint="default"/>
        <w:lang w:val="fr-FR" w:eastAsia="en-US" w:bidi="ar-SA"/>
      </w:rPr>
    </w:lvl>
    <w:lvl w:ilvl="7" w:tentative="0">
      <w:start w:val="0"/>
      <w:numFmt w:val="bullet"/>
      <w:lvlText w:val="•"/>
      <w:lvlJc w:val="left"/>
      <w:pPr>
        <w:ind w:left="818" w:hanging="182"/>
      </w:pPr>
      <w:rPr>
        <w:rFonts w:hint="default"/>
        <w:lang w:val="fr-FR" w:eastAsia="en-US" w:bidi="ar-SA"/>
      </w:rPr>
    </w:lvl>
    <w:lvl w:ilvl="8" w:tentative="0">
      <w:start w:val="0"/>
      <w:numFmt w:val="bullet"/>
      <w:lvlText w:val="•"/>
      <w:lvlJc w:val="left"/>
      <w:pPr>
        <w:ind w:left="875" w:hanging="182"/>
      </w:pPr>
      <w:rPr>
        <w:rFonts w:hint="default"/>
        <w:lang w:val="fr-FR" w:eastAsia="en-US" w:bidi="ar-SA"/>
      </w:rPr>
    </w:lvl>
  </w:abstractNum>
  <w:abstractNum w:abstractNumId="65">
    <w:nsid w:val="7E92CCC4"/>
    <w:multiLevelType w:val="multilevel"/>
    <w:tmpl w:val="7E92CCC4"/>
    <w:lvl w:ilvl="0" w:tentative="0">
      <w:start w:val="0"/>
      <w:numFmt w:val="bullet"/>
      <w:lvlText w:val="☐"/>
      <w:lvlJc w:val="left"/>
      <w:pPr>
        <w:ind w:left="419" w:hanging="182"/>
      </w:pPr>
      <w:rPr>
        <w:rFonts w:hint="default" w:ascii="宋体" w:hAnsi="宋体" w:eastAsia="宋体" w:cs="宋体"/>
        <w:b w:val="0"/>
        <w:bCs w:val="0"/>
        <w:i w:val="0"/>
        <w:iCs w:val="0"/>
        <w:spacing w:val="0"/>
        <w:w w:val="99"/>
        <w:sz w:val="16"/>
        <w:szCs w:val="16"/>
        <w:lang w:val="fr-FR" w:eastAsia="en-US" w:bidi="ar-SA"/>
      </w:rPr>
    </w:lvl>
    <w:lvl w:ilvl="1" w:tentative="0">
      <w:start w:val="0"/>
      <w:numFmt w:val="bullet"/>
      <w:lvlText w:val="•"/>
      <w:lvlJc w:val="left"/>
      <w:pPr>
        <w:ind w:left="657" w:hanging="182"/>
      </w:pPr>
      <w:rPr>
        <w:rFonts w:hint="default"/>
        <w:lang w:val="fr-FR" w:eastAsia="en-US" w:bidi="ar-SA"/>
      </w:rPr>
    </w:lvl>
    <w:lvl w:ilvl="2" w:tentative="0">
      <w:start w:val="0"/>
      <w:numFmt w:val="bullet"/>
      <w:lvlText w:val="•"/>
      <w:lvlJc w:val="left"/>
      <w:pPr>
        <w:ind w:left="894" w:hanging="182"/>
      </w:pPr>
      <w:rPr>
        <w:rFonts w:hint="default"/>
        <w:lang w:val="fr-FR" w:eastAsia="en-US" w:bidi="ar-SA"/>
      </w:rPr>
    </w:lvl>
    <w:lvl w:ilvl="3" w:tentative="0">
      <w:start w:val="0"/>
      <w:numFmt w:val="bullet"/>
      <w:lvlText w:val="•"/>
      <w:lvlJc w:val="left"/>
      <w:pPr>
        <w:ind w:left="1132" w:hanging="182"/>
      </w:pPr>
      <w:rPr>
        <w:rFonts w:hint="default"/>
        <w:lang w:val="fr-FR" w:eastAsia="en-US" w:bidi="ar-SA"/>
      </w:rPr>
    </w:lvl>
    <w:lvl w:ilvl="4" w:tentative="0">
      <w:start w:val="0"/>
      <w:numFmt w:val="bullet"/>
      <w:lvlText w:val="•"/>
      <w:lvlJc w:val="left"/>
      <w:pPr>
        <w:ind w:left="1369" w:hanging="182"/>
      </w:pPr>
      <w:rPr>
        <w:rFonts w:hint="default"/>
        <w:lang w:val="fr-FR" w:eastAsia="en-US" w:bidi="ar-SA"/>
      </w:rPr>
    </w:lvl>
    <w:lvl w:ilvl="5" w:tentative="0">
      <w:start w:val="0"/>
      <w:numFmt w:val="bullet"/>
      <w:lvlText w:val="•"/>
      <w:lvlJc w:val="left"/>
      <w:pPr>
        <w:ind w:left="1607" w:hanging="182"/>
      </w:pPr>
      <w:rPr>
        <w:rFonts w:hint="default"/>
        <w:lang w:val="fr-FR" w:eastAsia="en-US" w:bidi="ar-SA"/>
      </w:rPr>
    </w:lvl>
    <w:lvl w:ilvl="6" w:tentative="0">
      <w:start w:val="0"/>
      <w:numFmt w:val="bullet"/>
      <w:lvlText w:val="•"/>
      <w:lvlJc w:val="left"/>
      <w:pPr>
        <w:ind w:left="1844" w:hanging="182"/>
      </w:pPr>
      <w:rPr>
        <w:rFonts w:hint="default"/>
        <w:lang w:val="fr-FR" w:eastAsia="en-US" w:bidi="ar-SA"/>
      </w:rPr>
    </w:lvl>
    <w:lvl w:ilvl="7" w:tentative="0">
      <w:start w:val="0"/>
      <w:numFmt w:val="bullet"/>
      <w:lvlText w:val="•"/>
      <w:lvlJc w:val="left"/>
      <w:pPr>
        <w:ind w:left="2081" w:hanging="182"/>
      </w:pPr>
      <w:rPr>
        <w:rFonts w:hint="default"/>
        <w:lang w:val="fr-FR" w:eastAsia="en-US" w:bidi="ar-SA"/>
      </w:rPr>
    </w:lvl>
    <w:lvl w:ilvl="8" w:tentative="0">
      <w:start w:val="0"/>
      <w:numFmt w:val="bullet"/>
      <w:lvlText w:val="•"/>
      <w:lvlJc w:val="left"/>
      <w:pPr>
        <w:ind w:left="2319" w:hanging="182"/>
      </w:pPr>
      <w:rPr>
        <w:rFonts w:hint="default"/>
        <w:lang w:val="fr-FR" w:eastAsia="en-US" w:bidi="ar-SA"/>
      </w:rPr>
    </w:lvl>
  </w:abstractNum>
  <w:num w:numId="1">
    <w:abstractNumId w:val="28"/>
  </w:num>
  <w:num w:numId="2">
    <w:abstractNumId w:val="59"/>
  </w:num>
  <w:num w:numId="3">
    <w:abstractNumId w:val="33"/>
  </w:num>
  <w:num w:numId="4">
    <w:abstractNumId w:val="55"/>
  </w:num>
  <w:num w:numId="5">
    <w:abstractNumId w:val="48"/>
  </w:num>
  <w:num w:numId="6">
    <w:abstractNumId w:val="43"/>
  </w:num>
  <w:num w:numId="7">
    <w:abstractNumId w:val="36"/>
  </w:num>
  <w:num w:numId="8">
    <w:abstractNumId w:val="31"/>
  </w:num>
  <w:num w:numId="9">
    <w:abstractNumId w:val="37"/>
  </w:num>
  <w:num w:numId="10">
    <w:abstractNumId w:val="46"/>
  </w:num>
  <w:num w:numId="11">
    <w:abstractNumId w:val="57"/>
  </w:num>
  <w:num w:numId="12">
    <w:abstractNumId w:val="39"/>
  </w:num>
  <w:num w:numId="13">
    <w:abstractNumId w:val="42"/>
  </w:num>
  <w:num w:numId="14">
    <w:abstractNumId w:val="35"/>
  </w:num>
  <w:num w:numId="15">
    <w:abstractNumId w:val="49"/>
  </w:num>
  <w:num w:numId="16">
    <w:abstractNumId w:val="52"/>
  </w:num>
  <w:num w:numId="17">
    <w:abstractNumId w:val="47"/>
  </w:num>
  <w:num w:numId="18">
    <w:abstractNumId w:val="61"/>
  </w:num>
  <w:num w:numId="19">
    <w:abstractNumId w:val="45"/>
  </w:num>
  <w:num w:numId="20">
    <w:abstractNumId w:val="29"/>
  </w:num>
  <w:num w:numId="21">
    <w:abstractNumId w:val="38"/>
  </w:num>
  <w:num w:numId="22">
    <w:abstractNumId w:val="62"/>
  </w:num>
  <w:num w:numId="23">
    <w:abstractNumId w:val="51"/>
  </w:num>
  <w:num w:numId="24">
    <w:abstractNumId w:val="34"/>
  </w:num>
  <w:num w:numId="25">
    <w:abstractNumId w:val="58"/>
  </w:num>
  <w:num w:numId="26">
    <w:abstractNumId w:val="60"/>
  </w:num>
  <w:num w:numId="27">
    <w:abstractNumId w:val="30"/>
  </w:num>
  <w:num w:numId="28">
    <w:abstractNumId w:val="32"/>
  </w:num>
  <w:num w:numId="29">
    <w:abstractNumId w:val="44"/>
  </w:num>
  <w:num w:numId="30">
    <w:abstractNumId w:val="56"/>
  </w:num>
  <w:num w:numId="31">
    <w:abstractNumId w:val="54"/>
  </w:num>
  <w:num w:numId="32">
    <w:abstractNumId w:val="6"/>
  </w:num>
  <w:num w:numId="33">
    <w:abstractNumId w:val="8"/>
  </w:num>
  <w:num w:numId="34">
    <w:abstractNumId w:val="22"/>
  </w:num>
  <w:num w:numId="35">
    <w:abstractNumId w:val="53"/>
  </w:num>
  <w:num w:numId="36">
    <w:abstractNumId w:val="10"/>
  </w:num>
  <w:num w:numId="37">
    <w:abstractNumId w:val="17"/>
  </w:num>
  <w:num w:numId="38">
    <w:abstractNumId w:val="11"/>
  </w:num>
  <w:num w:numId="39">
    <w:abstractNumId w:val="26"/>
  </w:num>
  <w:num w:numId="40">
    <w:abstractNumId w:val="23"/>
  </w:num>
  <w:num w:numId="41">
    <w:abstractNumId w:val="25"/>
  </w:num>
  <w:num w:numId="42">
    <w:abstractNumId w:val="13"/>
  </w:num>
  <w:num w:numId="43">
    <w:abstractNumId w:val="1"/>
  </w:num>
  <w:num w:numId="44">
    <w:abstractNumId w:val="65"/>
  </w:num>
  <w:num w:numId="45">
    <w:abstractNumId w:val="19"/>
  </w:num>
  <w:num w:numId="46">
    <w:abstractNumId w:val="0"/>
  </w:num>
  <w:num w:numId="47">
    <w:abstractNumId w:val="3"/>
  </w:num>
  <w:num w:numId="48">
    <w:abstractNumId w:val="50"/>
  </w:num>
  <w:num w:numId="49">
    <w:abstractNumId w:val="4"/>
  </w:num>
  <w:num w:numId="50">
    <w:abstractNumId w:val="21"/>
  </w:num>
  <w:num w:numId="51">
    <w:abstractNumId w:val="41"/>
  </w:num>
  <w:num w:numId="52">
    <w:abstractNumId w:val="15"/>
  </w:num>
  <w:num w:numId="53">
    <w:abstractNumId w:val="2"/>
  </w:num>
  <w:num w:numId="54">
    <w:abstractNumId w:val="64"/>
  </w:num>
  <w:num w:numId="55">
    <w:abstractNumId w:val="27"/>
  </w:num>
  <w:num w:numId="56">
    <w:abstractNumId w:val="12"/>
  </w:num>
  <w:num w:numId="57">
    <w:abstractNumId w:val="5"/>
  </w:num>
  <w:num w:numId="58">
    <w:abstractNumId w:val="24"/>
  </w:num>
  <w:num w:numId="59">
    <w:abstractNumId w:val="14"/>
  </w:num>
  <w:num w:numId="60">
    <w:abstractNumId w:val="16"/>
  </w:num>
  <w:num w:numId="61">
    <w:abstractNumId w:val="7"/>
  </w:num>
  <w:num w:numId="62">
    <w:abstractNumId w:val="63"/>
  </w:num>
  <w:num w:numId="63">
    <w:abstractNumId w:val="9"/>
  </w:num>
  <w:num w:numId="64">
    <w:abstractNumId w:val="18"/>
  </w:num>
  <w:num w:numId="65">
    <w:abstractNumId w:val="40"/>
  </w:num>
  <w:num w:numId="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59V090NpYvMtiu6KnYmd4R5T5A3Bi4+4Fr86BVlcloNEHtE2A8flSI5A1oRjlZpJP4XtLI1moou+BB9e32kVoA==" w:salt="8COJy/xYBmICO4ybNVLUE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YmRkMDZkYjdjMzA0M2VmZmU2NjM5OTQ2MjI0M2MifQ=="/>
  </w:docVars>
  <w:rsids>
    <w:rsidRoot w:val="00410D66"/>
    <w:rsid w:val="0000040A"/>
    <w:rsid w:val="00000A94"/>
    <w:rsid w:val="00001972"/>
    <w:rsid w:val="00001D9A"/>
    <w:rsid w:val="00007B3A"/>
    <w:rsid w:val="000107E0"/>
    <w:rsid w:val="00011FDE"/>
    <w:rsid w:val="00012FFD"/>
    <w:rsid w:val="00013E93"/>
    <w:rsid w:val="00014162"/>
    <w:rsid w:val="00014340"/>
    <w:rsid w:val="00016551"/>
    <w:rsid w:val="00016A9C"/>
    <w:rsid w:val="00021CA9"/>
    <w:rsid w:val="00022184"/>
    <w:rsid w:val="00022762"/>
    <w:rsid w:val="000238E0"/>
    <w:rsid w:val="000249DB"/>
    <w:rsid w:val="0002595E"/>
    <w:rsid w:val="000274A1"/>
    <w:rsid w:val="00027CD5"/>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6363"/>
    <w:rsid w:val="00077B64"/>
    <w:rsid w:val="00080A1C"/>
    <w:rsid w:val="000820D5"/>
    <w:rsid w:val="00082317"/>
    <w:rsid w:val="00083D2C"/>
    <w:rsid w:val="00086AA1"/>
    <w:rsid w:val="00087A77"/>
    <w:rsid w:val="00090CA6"/>
    <w:rsid w:val="0009276D"/>
    <w:rsid w:val="00092B8A"/>
    <w:rsid w:val="00092FB0"/>
    <w:rsid w:val="000934C5"/>
    <w:rsid w:val="00093CD7"/>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561"/>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096"/>
    <w:rsid w:val="00135323"/>
    <w:rsid w:val="001356C4"/>
    <w:rsid w:val="00137F1B"/>
    <w:rsid w:val="00141114"/>
    <w:rsid w:val="00142969"/>
    <w:rsid w:val="001446C2"/>
    <w:rsid w:val="001457E7"/>
    <w:rsid w:val="00145D9D"/>
    <w:rsid w:val="00146388"/>
    <w:rsid w:val="001529E5"/>
    <w:rsid w:val="00153C7E"/>
    <w:rsid w:val="00153DFE"/>
    <w:rsid w:val="00156B25"/>
    <w:rsid w:val="00156E1A"/>
    <w:rsid w:val="00157894"/>
    <w:rsid w:val="00157B55"/>
    <w:rsid w:val="00162290"/>
    <w:rsid w:val="001642FA"/>
    <w:rsid w:val="001649EB"/>
    <w:rsid w:val="00164BAF"/>
    <w:rsid w:val="00164FA8"/>
    <w:rsid w:val="00165065"/>
    <w:rsid w:val="00165434"/>
    <w:rsid w:val="0016580B"/>
    <w:rsid w:val="00165F49"/>
    <w:rsid w:val="00166B88"/>
    <w:rsid w:val="0016770A"/>
    <w:rsid w:val="00170804"/>
    <w:rsid w:val="001708E9"/>
    <w:rsid w:val="0017340B"/>
    <w:rsid w:val="00173709"/>
    <w:rsid w:val="00173FB1"/>
    <w:rsid w:val="00176DFD"/>
    <w:rsid w:val="001852C9"/>
    <w:rsid w:val="00190087"/>
    <w:rsid w:val="001913C4"/>
    <w:rsid w:val="0019348F"/>
    <w:rsid w:val="00193A07"/>
    <w:rsid w:val="00193E65"/>
    <w:rsid w:val="00194C95"/>
    <w:rsid w:val="00195C34"/>
    <w:rsid w:val="00196EF5"/>
    <w:rsid w:val="001A0BD5"/>
    <w:rsid w:val="001A1A53"/>
    <w:rsid w:val="001A234A"/>
    <w:rsid w:val="001A4CF3"/>
    <w:rsid w:val="001B06E8"/>
    <w:rsid w:val="001B71D0"/>
    <w:rsid w:val="001B71EE"/>
    <w:rsid w:val="001C04A8"/>
    <w:rsid w:val="001C2C03"/>
    <w:rsid w:val="001C42F7"/>
    <w:rsid w:val="001C49E5"/>
    <w:rsid w:val="001C680C"/>
    <w:rsid w:val="001C7FEA"/>
    <w:rsid w:val="001D041A"/>
    <w:rsid w:val="001D0499"/>
    <w:rsid w:val="001D0BBE"/>
    <w:rsid w:val="001D0ED4"/>
    <w:rsid w:val="001D212F"/>
    <w:rsid w:val="001D29D7"/>
    <w:rsid w:val="001D2DE7"/>
    <w:rsid w:val="001D411C"/>
    <w:rsid w:val="001D50EA"/>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4D06"/>
    <w:rsid w:val="0020527B"/>
    <w:rsid w:val="00205F2C"/>
    <w:rsid w:val="00210B15"/>
    <w:rsid w:val="00210E73"/>
    <w:rsid w:val="002142EA"/>
    <w:rsid w:val="00220471"/>
    <w:rsid w:val="002204BB"/>
    <w:rsid w:val="00221B79"/>
    <w:rsid w:val="00221C6B"/>
    <w:rsid w:val="002253A1"/>
    <w:rsid w:val="00225CF8"/>
    <w:rsid w:val="0022794E"/>
    <w:rsid w:val="00233D64"/>
    <w:rsid w:val="0023482A"/>
    <w:rsid w:val="002359CB"/>
    <w:rsid w:val="00235AED"/>
    <w:rsid w:val="00243540"/>
    <w:rsid w:val="00243F57"/>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B02"/>
    <w:rsid w:val="00267EF4"/>
    <w:rsid w:val="00270CB8"/>
    <w:rsid w:val="00272B08"/>
    <w:rsid w:val="002771AC"/>
    <w:rsid w:val="00281BB8"/>
    <w:rsid w:val="00281E9E"/>
    <w:rsid w:val="00282405"/>
    <w:rsid w:val="00283BBA"/>
    <w:rsid w:val="002849A0"/>
    <w:rsid w:val="00285170"/>
    <w:rsid w:val="00285361"/>
    <w:rsid w:val="00292266"/>
    <w:rsid w:val="00292D60"/>
    <w:rsid w:val="00293B30"/>
    <w:rsid w:val="00294479"/>
    <w:rsid w:val="00294D34"/>
    <w:rsid w:val="00294E3B"/>
    <w:rsid w:val="00296193"/>
    <w:rsid w:val="00296C66"/>
    <w:rsid w:val="00296EBE"/>
    <w:rsid w:val="002974E3"/>
    <w:rsid w:val="002A084B"/>
    <w:rsid w:val="002A1260"/>
    <w:rsid w:val="002A1589"/>
    <w:rsid w:val="002A1608"/>
    <w:rsid w:val="002A25DC"/>
    <w:rsid w:val="002A376B"/>
    <w:rsid w:val="002A3AAB"/>
    <w:rsid w:val="002A4CEA"/>
    <w:rsid w:val="002A5977"/>
    <w:rsid w:val="002A5A13"/>
    <w:rsid w:val="002A757F"/>
    <w:rsid w:val="002A7F44"/>
    <w:rsid w:val="002B0C40"/>
    <w:rsid w:val="002B1966"/>
    <w:rsid w:val="002B4508"/>
    <w:rsid w:val="002B5779"/>
    <w:rsid w:val="002B7332"/>
    <w:rsid w:val="002B7DBF"/>
    <w:rsid w:val="002B7F51"/>
    <w:rsid w:val="002C09E7"/>
    <w:rsid w:val="002C1E06"/>
    <w:rsid w:val="002C1E1C"/>
    <w:rsid w:val="002C3341"/>
    <w:rsid w:val="002C3F07"/>
    <w:rsid w:val="002C5278"/>
    <w:rsid w:val="002C7EBB"/>
    <w:rsid w:val="002D06C1"/>
    <w:rsid w:val="002D42B5"/>
    <w:rsid w:val="002D4F1A"/>
    <w:rsid w:val="002D51F1"/>
    <w:rsid w:val="002D6EC6"/>
    <w:rsid w:val="002D74AD"/>
    <w:rsid w:val="002D79AC"/>
    <w:rsid w:val="002E039D"/>
    <w:rsid w:val="002E262D"/>
    <w:rsid w:val="002E4D5A"/>
    <w:rsid w:val="002E6326"/>
    <w:rsid w:val="002E79D0"/>
    <w:rsid w:val="002F058E"/>
    <w:rsid w:val="002F0993"/>
    <w:rsid w:val="002F30E0"/>
    <w:rsid w:val="002F35E4"/>
    <w:rsid w:val="002F3730"/>
    <w:rsid w:val="002F38E1"/>
    <w:rsid w:val="002F7535"/>
    <w:rsid w:val="002F7AF6"/>
    <w:rsid w:val="00300E63"/>
    <w:rsid w:val="00302F5F"/>
    <w:rsid w:val="0030441D"/>
    <w:rsid w:val="00306063"/>
    <w:rsid w:val="003110CC"/>
    <w:rsid w:val="00313B85"/>
    <w:rsid w:val="00317988"/>
    <w:rsid w:val="00321A94"/>
    <w:rsid w:val="003221B4"/>
    <w:rsid w:val="0032258D"/>
    <w:rsid w:val="00322E62"/>
    <w:rsid w:val="00324D13"/>
    <w:rsid w:val="00324D2A"/>
    <w:rsid w:val="00324EDD"/>
    <w:rsid w:val="00331019"/>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5309"/>
    <w:rsid w:val="00376713"/>
    <w:rsid w:val="003769EF"/>
    <w:rsid w:val="00380432"/>
    <w:rsid w:val="00381815"/>
    <w:rsid w:val="003819AF"/>
    <w:rsid w:val="003820E9"/>
    <w:rsid w:val="00382350"/>
    <w:rsid w:val="00382DE7"/>
    <w:rsid w:val="00384FFC"/>
    <w:rsid w:val="003872FC"/>
    <w:rsid w:val="00387ADC"/>
    <w:rsid w:val="00390020"/>
    <w:rsid w:val="003903D6"/>
    <w:rsid w:val="00390EE6"/>
    <w:rsid w:val="0039118F"/>
    <w:rsid w:val="0039191D"/>
    <w:rsid w:val="00392AD7"/>
    <w:rsid w:val="003938D9"/>
    <w:rsid w:val="00394376"/>
    <w:rsid w:val="003943FF"/>
    <w:rsid w:val="00395700"/>
    <w:rsid w:val="003974EB"/>
    <w:rsid w:val="00397CC5"/>
    <w:rsid w:val="003A1582"/>
    <w:rsid w:val="003A4077"/>
    <w:rsid w:val="003A420C"/>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0C2E"/>
    <w:rsid w:val="003E1C53"/>
    <w:rsid w:val="003E1EDD"/>
    <w:rsid w:val="003E2A69"/>
    <w:rsid w:val="003E2D49"/>
    <w:rsid w:val="003E2FD4"/>
    <w:rsid w:val="003E49F6"/>
    <w:rsid w:val="003E660F"/>
    <w:rsid w:val="003F0841"/>
    <w:rsid w:val="003F1118"/>
    <w:rsid w:val="003F23D3"/>
    <w:rsid w:val="003F3F08"/>
    <w:rsid w:val="003F49F1"/>
    <w:rsid w:val="003F6272"/>
    <w:rsid w:val="00400E72"/>
    <w:rsid w:val="00401400"/>
    <w:rsid w:val="00404869"/>
    <w:rsid w:val="00405884"/>
    <w:rsid w:val="00407D39"/>
    <w:rsid w:val="00410D66"/>
    <w:rsid w:val="0041477A"/>
    <w:rsid w:val="004167A3"/>
    <w:rsid w:val="00432DAA"/>
    <w:rsid w:val="00434305"/>
    <w:rsid w:val="00435DF7"/>
    <w:rsid w:val="00437EE0"/>
    <w:rsid w:val="0044083F"/>
    <w:rsid w:val="00441AE7"/>
    <w:rsid w:val="00445574"/>
    <w:rsid w:val="004467FB"/>
    <w:rsid w:val="00452D6B"/>
    <w:rsid w:val="00454484"/>
    <w:rsid w:val="0045517B"/>
    <w:rsid w:val="00463B77"/>
    <w:rsid w:val="00463C7B"/>
    <w:rsid w:val="004644A6"/>
    <w:rsid w:val="004659BD"/>
    <w:rsid w:val="004660F6"/>
    <w:rsid w:val="00470775"/>
    <w:rsid w:val="004746B1"/>
    <w:rsid w:val="0047583F"/>
    <w:rsid w:val="00475DE8"/>
    <w:rsid w:val="00480241"/>
    <w:rsid w:val="00481C44"/>
    <w:rsid w:val="00484936"/>
    <w:rsid w:val="00485C89"/>
    <w:rsid w:val="00486BE3"/>
    <w:rsid w:val="00490379"/>
    <w:rsid w:val="004905E4"/>
    <w:rsid w:val="00490A89"/>
    <w:rsid w:val="00490AB4"/>
    <w:rsid w:val="00492F02"/>
    <w:rsid w:val="004939AE"/>
    <w:rsid w:val="004A12DF"/>
    <w:rsid w:val="004A17E6"/>
    <w:rsid w:val="004A1BA8"/>
    <w:rsid w:val="004A2379"/>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00D"/>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4D0"/>
    <w:rsid w:val="00504A3D"/>
    <w:rsid w:val="00505767"/>
    <w:rsid w:val="005073F0"/>
    <w:rsid w:val="00510A7B"/>
    <w:rsid w:val="005117F1"/>
    <w:rsid w:val="00512F6E"/>
    <w:rsid w:val="00513038"/>
    <w:rsid w:val="00514174"/>
    <w:rsid w:val="00516088"/>
    <w:rsid w:val="00516B0B"/>
    <w:rsid w:val="005208DD"/>
    <w:rsid w:val="005220EC"/>
    <w:rsid w:val="00523F95"/>
    <w:rsid w:val="00524D65"/>
    <w:rsid w:val="00525B16"/>
    <w:rsid w:val="00533D04"/>
    <w:rsid w:val="00534804"/>
    <w:rsid w:val="00534BDF"/>
    <w:rsid w:val="005354EA"/>
    <w:rsid w:val="0053585F"/>
    <w:rsid w:val="00535EC4"/>
    <w:rsid w:val="00535ED9"/>
    <w:rsid w:val="0053692B"/>
    <w:rsid w:val="00541853"/>
    <w:rsid w:val="005437E6"/>
    <w:rsid w:val="00543BDA"/>
    <w:rsid w:val="005441CC"/>
    <w:rsid w:val="00547508"/>
    <w:rsid w:val="005479DA"/>
    <w:rsid w:val="00547BCC"/>
    <w:rsid w:val="0055013B"/>
    <w:rsid w:val="00551F6F"/>
    <w:rsid w:val="00555044"/>
    <w:rsid w:val="00560CDD"/>
    <w:rsid w:val="00561475"/>
    <w:rsid w:val="00562A57"/>
    <w:rsid w:val="0056487B"/>
    <w:rsid w:val="00564FB9"/>
    <w:rsid w:val="00573D9E"/>
    <w:rsid w:val="005801E3"/>
    <w:rsid w:val="00581802"/>
    <w:rsid w:val="005836A8"/>
    <w:rsid w:val="0058409C"/>
    <w:rsid w:val="00584262"/>
    <w:rsid w:val="005865E6"/>
    <w:rsid w:val="00586630"/>
    <w:rsid w:val="00587ADD"/>
    <w:rsid w:val="00591E27"/>
    <w:rsid w:val="00596160"/>
    <w:rsid w:val="005966E2"/>
    <w:rsid w:val="00597007"/>
    <w:rsid w:val="005A0966"/>
    <w:rsid w:val="005A11B7"/>
    <w:rsid w:val="005A17D3"/>
    <w:rsid w:val="005A260B"/>
    <w:rsid w:val="005A4A1B"/>
    <w:rsid w:val="005A7830"/>
    <w:rsid w:val="005A7FCE"/>
    <w:rsid w:val="005B0F3F"/>
    <w:rsid w:val="005B4903"/>
    <w:rsid w:val="005B51CE"/>
    <w:rsid w:val="005B5885"/>
    <w:rsid w:val="005B5CD7"/>
    <w:rsid w:val="005B6CF6"/>
    <w:rsid w:val="005B7422"/>
    <w:rsid w:val="005B7D7B"/>
    <w:rsid w:val="005C29B8"/>
    <w:rsid w:val="005C5F21"/>
    <w:rsid w:val="005C7156"/>
    <w:rsid w:val="005D0690"/>
    <w:rsid w:val="005D0C75"/>
    <w:rsid w:val="005D4171"/>
    <w:rsid w:val="005D6A95"/>
    <w:rsid w:val="005D6B2C"/>
    <w:rsid w:val="005D6D9C"/>
    <w:rsid w:val="005E2335"/>
    <w:rsid w:val="005E34CA"/>
    <w:rsid w:val="005E3C18"/>
    <w:rsid w:val="005E6812"/>
    <w:rsid w:val="005E7881"/>
    <w:rsid w:val="005E78E0"/>
    <w:rsid w:val="005F0D9C"/>
    <w:rsid w:val="005F284E"/>
    <w:rsid w:val="005F3B40"/>
    <w:rsid w:val="005F4712"/>
    <w:rsid w:val="006015CE"/>
    <w:rsid w:val="00603108"/>
    <w:rsid w:val="00604784"/>
    <w:rsid w:val="00604D38"/>
    <w:rsid w:val="00605A42"/>
    <w:rsid w:val="00606419"/>
    <w:rsid w:val="00607D29"/>
    <w:rsid w:val="00612952"/>
    <w:rsid w:val="00612BCC"/>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1BB0"/>
    <w:rsid w:val="00645904"/>
    <w:rsid w:val="00651ACB"/>
    <w:rsid w:val="00651C47"/>
    <w:rsid w:val="00651D1B"/>
    <w:rsid w:val="00652AB2"/>
    <w:rsid w:val="00653CF4"/>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97527"/>
    <w:rsid w:val="006A07AA"/>
    <w:rsid w:val="006A25E5"/>
    <w:rsid w:val="006A2B46"/>
    <w:rsid w:val="006A336D"/>
    <w:rsid w:val="006A37B9"/>
    <w:rsid w:val="006A5AFF"/>
    <w:rsid w:val="006B135A"/>
    <w:rsid w:val="006B2672"/>
    <w:rsid w:val="006B54BF"/>
    <w:rsid w:val="006B5F44"/>
    <w:rsid w:val="006B5F90"/>
    <w:rsid w:val="006B62E4"/>
    <w:rsid w:val="006B7E01"/>
    <w:rsid w:val="006C04F7"/>
    <w:rsid w:val="006C1BBA"/>
    <w:rsid w:val="006C2079"/>
    <w:rsid w:val="006C48EF"/>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11C5"/>
    <w:rsid w:val="00704387"/>
    <w:rsid w:val="00707669"/>
    <w:rsid w:val="00711CBA"/>
    <w:rsid w:val="00711FB5"/>
    <w:rsid w:val="00712A01"/>
    <w:rsid w:val="00714115"/>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F87"/>
    <w:rsid w:val="007501A8"/>
    <w:rsid w:val="00750D61"/>
    <w:rsid w:val="00750EE1"/>
    <w:rsid w:val="00752B4D"/>
    <w:rsid w:val="00755402"/>
    <w:rsid w:val="00756B26"/>
    <w:rsid w:val="00756EDF"/>
    <w:rsid w:val="007600E3"/>
    <w:rsid w:val="00765C43"/>
    <w:rsid w:val="00765EFB"/>
    <w:rsid w:val="007671CA"/>
    <w:rsid w:val="00767C61"/>
    <w:rsid w:val="00767F1A"/>
    <w:rsid w:val="0077008A"/>
    <w:rsid w:val="00773C1F"/>
    <w:rsid w:val="00774B27"/>
    <w:rsid w:val="00774DA4"/>
    <w:rsid w:val="00776599"/>
    <w:rsid w:val="0078114B"/>
    <w:rsid w:val="00781DD2"/>
    <w:rsid w:val="00783ECF"/>
    <w:rsid w:val="0078413A"/>
    <w:rsid w:val="007959E8"/>
    <w:rsid w:val="00795E9C"/>
    <w:rsid w:val="007A0521"/>
    <w:rsid w:val="007A2E12"/>
    <w:rsid w:val="007A3475"/>
    <w:rsid w:val="007A41C8"/>
    <w:rsid w:val="007A50A1"/>
    <w:rsid w:val="007A54CE"/>
    <w:rsid w:val="007A5689"/>
    <w:rsid w:val="007A6FD9"/>
    <w:rsid w:val="007A7FFA"/>
    <w:rsid w:val="007B04EB"/>
    <w:rsid w:val="007B0D4F"/>
    <w:rsid w:val="007B5A3D"/>
    <w:rsid w:val="007B5B95"/>
    <w:rsid w:val="007B68EA"/>
    <w:rsid w:val="007B7453"/>
    <w:rsid w:val="007C1E8B"/>
    <w:rsid w:val="007C2D89"/>
    <w:rsid w:val="007C4593"/>
    <w:rsid w:val="007C5309"/>
    <w:rsid w:val="007C5AE2"/>
    <w:rsid w:val="007C6069"/>
    <w:rsid w:val="007D06C4"/>
    <w:rsid w:val="007D1352"/>
    <w:rsid w:val="007D2508"/>
    <w:rsid w:val="007D346A"/>
    <w:rsid w:val="007D4323"/>
    <w:rsid w:val="007D6518"/>
    <w:rsid w:val="007D76BD"/>
    <w:rsid w:val="007D798F"/>
    <w:rsid w:val="007E0BF1"/>
    <w:rsid w:val="007F0ED8"/>
    <w:rsid w:val="007F0F63"/>
    <w:rsid w:val="007F29BD"/>
    <w:rsid w:val="007F360E"/>
    <w:rsid w:val="007F4093"/>
    <w:rsid w:val="007F52E4"/>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0B3"/>
    <w:rsid w:val="00830621"/>
    <w:rsid w:val="0083348C"/>
    <w:rsid w:val="008373D3"/>
    <w:rsid w:val="00840617"/>
    <w:rsid w:val="00840F84"/>
    <w:rsid w:val="00842A47"/>
    <w:rsid w:val="00843C13"/>
    <w:rsid w:val="00844A3D"/>
    <w:rsid w:val="008454F8"/>
    <w:rsid w:val="0085016E"/>
    <w:rsid w:val="0085173A"/>
    <w:rsid w:val="00856316"/>
    <w:rsid w:val="00860173"/>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497"/>
    <w:rsid w:val="008A1893"/>
    <w:rsid w:val="008A3215"/>
    <w:rsid w:val="008A57E6"/>
    <w:rsid w:val="008A6F81"/>
    <w:rsid w:val="008A769A"/>
    <w:rsid w:val="008B0C9C"/>
    <w:rsid w:val="008B166D"/>
    <w:rsid w:val="008B17F4"/>
    <w:rsid w:val="008B3615"/>
    <w:rsid w:val="008B4AC4"/>
    <w:rsid w:val="008B50C8"/>
    <w:rsid w:val="008B5281"/>
    <w:rsid w:val="008B6DDE"/>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1880"/>
    <w:rsid w:val="00902722"/>
    <w:rsid w:val="009027BC"/>
    <w:rsid w:val="009062E6"/>
    <w:rsid w:val="00911BE5"/>
    <w:rsid w:val="00912871"/>
    <w:rsid w:val="00913CA9"/>
    <w:rsid w:val="009145AE"/>
    <w:rsid w:val="009146CE"/>
    <w:rsid w:val="00914CA7"/>
    <w:rsid w:val="00915C3E"/>
    <w:rsid w:val="009161A8"/>
    <w:rsid w:val="009210A3"/>
    <w:rsid w:val="009245F5"/>
    <w:rsid w:val="009249EC"/>
    <w:rsid w:val="009273B3"/>
    <w:rsid w:val="009305B5"/>
    <w:rsid w:val="0093083C"/>
    <w:rsid w:val="0093470C"/>
    <w:rsid w:val="009429D5"/>
    <w:rsid w:val="00942BF1"/>
    <w:rsid w:val="00945180"/>
    <w:rsid w:val="00945428"/>
    <w:rsid w:val="0094607B"/>
    <w:rsid w:val="009532A1"/>
    <w:rsid w:val="009535EB"/>
    <w:rsid w:val="00953604"/>
    <w:rsid w:val="0095496B"/>
    <w:rsid w:val="009610DC"/>
    <w:rsid w:val="00961490"/>
    <w:rsid w:val="0096381A"/>
    <w:rsid w:val="00963926"/>
    <w:rsid w:val="00965E04"/>
    <w:rsid w:val="009674AD"/>
    <w:rsid w:val="00970CDC"/>
    <w:rsid w:val="009715CE"/>
    <w:rsid w:val="009762DB"/>
    <w:rsid w:val="00977010"/>
    <w:rsid w:val="00977D02"/>
    <w:rsid w:val="009809BB"/>
    <w:rsid w:val="0098364B"/>
    <w:rsid w:val="009848D2"/>
    <w:rsid w:val="009911AF"/>
    <w:rsid w:val="00991875"/>
    <w:rsid w:val="00991F92"/>
    <w:rsid w:val="00992446"/>
    <w:rsid w:val="00992985"/>
    <w:rsid w:val="00993889"/>
    <w:rsid w:val="0099551B"/>
    <w:rsid w:val="00996B90"/>
    <w:rsid w:val="00997BF1"/>
    <w:rsid w:val="009A089C"/>
    <w:rsid w:val="009A118E"/>
    <w:rsid w:val="009A21CD"/>
    <w:rsid w:val="009A278C"/>
    <w:rsid w:val="009A2BC2"/>
    <w:rsid w:val="009A42C1"/>
    <w:rsid w:val="009A5429"/>
    <w:rsid w:val="009A72AD"/>
    <w:rsid w:val="009B09E0"/>
    <w:rsid w:val="009B0BC5"/>
    <w:rsid w:val="009B0DBD"/>
    <w:rsid w:val="009B1247"/>
    <w:rsid w:val="009B46F9"/>
    <w:rsid w:val="009B6029"/>
    <w:rsid w:val="009B6971"/>
    <w:rsid w:val="009C27F1"/>
    <w:rsid w:val="009C3152"/>
    <w:rsid w:val="009C4CFA"/>
    <w:rsid w:val="009C5070"/>
    <w:rsid w:val="009D112C"/>
    <w:rsid w:val="009D37D8"/>
    <w:rsid w:val="009D47FA"/>
    <w:rsid w:val="009D4C5B"/>
    <w:rsid w:val="009D50D2"/>
    <w:rsid w:val="009D6BCA"/>
    <w:rsid w:val="009E0F62"/>
    <w:rsid w:val="009E1D5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0D2"/>
    <w:rsid w:val="00A4030F"/>
    <w:rsid w:val="00A41C79"/>
    <w:rsid w:val="00A41CB5"/>
    <w:rsid w:val="00A42CDF"/>
    <w:rsid w:val="00A44491"/>
    <w:rsid w:val="00A4452E"/>
    <w:rsid w:val="00A4472C"/>
    <w:rsid w:val="00A44E69"/>
    <w:rsid w:val="00A45D5B"/>
    <w:rsid w:val="00A4661E"/>
    <w:rsid w:val="00A533F9"/>
    <w:rsid w:val="00A55BD6"/>
    <w:rsid w:val="00A55D50"/>
    <w:rsid w:val="00A57142"/>
    <w:rsid w:val="00A648CD"/>
    <w:rsid w:val="00A6537A"/>
    <w:rsid w:val="00A67866"/>
    <w:rsid w:val="00A70B07"/>
    <w:rsid w:val="00A723F8"/>
    <w:rsid w:val="00A77CCB"/>
    <w:rsid w:val="00A8333D"/>
    <w:rsid w:val="00A83D8D"/>
    <w:rsid w:val="00A8446B"/>
    <w:rsid w:val="00A8473F"/>
    <w:rsid w:val="00A862D6"/>
    <w:rsid w:val="00A8715E"/>
    <w:rsid w:val="00A91FE0"/>
    <w:rsid w:val="00A9295B"/>
    <w:rsid w:val="00A93B09"/>
    <w:rsid w:val="00A94247"/>
    <w:rsid w:val="00A952D7"/>
    <w:rsid w:val="00A963F7"/>
    <w:rsid w:val="00A96AD8"/>
    <w:rsid w:val="00AA052C"/>
    <w:rsid w:val="00AA1E45"/>
    <w:rsid w:val="00AA4286"/>
    <w:rsid w:val="00AA456B"/>
    <w:rsid w:val="00AA4845"/>
    <w:rsid w:val="00AA57F5"/>
    <w:rsid w:val="00AA672E"/>
    <w:rsid w:val="00AA6EC9"/>
    <w:rsid w:val="00AB41D5"/>
    <w:rsid w:val="00AB6309"/>
    <w:rsid w:val="00AB6C5F"/>
    <w:rsid w:val="00AB7129"/>
    <w:rsid w:val="00AC27A6"/>
    <w:rsid w:val="00AC30F7"/>
    <w:rsid w:val="00AC3A5A"/>
    <w:rsid w:val="00AC4D95"/>
    <w:rsid w:val="00AC5DF4"/>
    <w:rsid w:val="00AD0AEF"/>
    <w:rsid w:val="00AD0BD3"/>
    <w:rsid w:val="00AD11B7"/>
    <w:rsid w:val="00AD1A94"/>
    <w:rsid w:val="00AD1C05"/>
    <w:rsid w:val="00AD4126"/>
    <w:rsid w:val="00AD421C"/>
    <w:rsid w:val="00AD44FA"/>
    <w:rsid w:val="00AD65D1"/>
    <w:rsid w:val="00AD7C12"/>
    <w:rsid w:val="00AE070A"/>
    <w:rsid w:val="00AE101C"/>
    <w:rsid w:val="00AE31A2"/>
    <w:rsid w:val="00AE37E5"/>
    <w:rsid w:val="00AE5EB4"/>
    <w:rsid w:val="00AF0C18"/>
    <w:rsid w:val="00AF47C5"/>
    <w:rsid w:val="00AF5398"/>
    <w:rsid w:val="00B031E4"/>
    <w:rsid w:val="00B049AF"/>
    <w:rsid w:val="00B07242"/>
    <w:rsid w:val="00B10534"/>
    <w:rsid w:val="00B113DB"/>
    <w:rsid w:val="00B11D8A"/>
    <w:rsid w:val="00B12981"/>
    <w:rsid w:val="00B147DD"/>
    <w:rsid w:val="00B156FD"/>
    <w:rsid w:val="00B21F61"/>
    <w:rsid w:val="00B261F1"/>
    <w:rsid w:val="00B265BC"/>
    <w:rsid w:val="00B305E2"/>
    <w:rsid w:val="00B31FB1"/>
    <w:rsid w:val="00B33952"/>
    <w:rsid w:val="00B33C5E"/>
    <w:rsid w:val="00B342F4"/>
    <w:rsid w:val="00B34369"/>
    <w:rsid w:val="00B34DC2"/>
    <w:rsid w:val="00B378E5"/>
    <w:rsid w:val="00B37A68"/>
    <w:rsid w:val="00B4346D"/>
    <w:rsid w:val="00B440F4"/>
    <w:rsid w:val="00B447A5"/>
    <w:rsid w:val="00B463D7"/>
    <w:rsid w:val="00B4654C"/>
    <w:rsid w:val="00B46AF0"/>
    <w:rsid w:val="00B47293"/>
    <w:rsid w:val="00B50E50"/>
    <w:rsid w:val="00B52120"/>
    <w:rsid w:val="00B54ABC"/>
    <w:rsid w:val="00B54DDE"/>
    <w:rsid w:val="00B56682"/>
    <w:rsid w:val="00B56FBE"/>
    <w:rsid w:val="00B575EA"/>
    <w:rsid w:val="00B603BB"/>
    <w:rsid w:val="00B60ACF"/>
    <w:rsid w:val="00B62A54"/>
    <w:rsid w:val="00B62B58"/>
    <w:rsid w:val="00B65149"/>
    <w:rsid w:val="00B66567"/>
    <w:rsid w:val="00B66CF4"/>
    <w:rsid w:val="00B66F52"/>
    <w:rsid w:val="00B66FE5"/>
    <w:rsid w:val="00B72880"/>
    <w:rsid w:val="00B758BF"/>
    <w:rsid w:val="00B77EC8"/>
    <w:rsid w:val="00B812F6"/>
    <w:rsid w:val="00B827A6"/>
    <w:rsid w:val="00B829D8"/>
    <w:rsid w:val="00B831CE"/>
    <w:rsid w:val="00B86677"/>
    <w:rsid w:val="00B87131"/>
    <w:rsid w:val="00B939B1"/>
    <w:rsid w:val="00B95668"/>
    <w:rsid w:val="00B96D40"/>
    <w:rsid w:val="00B97386"/>
    <w:rsid w:val="00B975E0"/>
    <w:rsid w:val="00BA263B"/>
    <w:rsid w:val="00BA42B2"/>
    <w:rsid w:val="00BA58D4"/>
    <w:rsid w:val="00BA5B9E"/>
    <w:rsid w:val="00BA7C9A"/>
    <w:rsid w:val="00BB203B"/>
    <w:rsid w:val="00BB2911"/>
    <w:rsid w:val="00BB4B2A"/>
    <w:rsid w:val="00BB5F8F"/>
    <w:rsid w:val="00BB657A"/>
    <w:rsid w:val="00BB65C0"/>
    <w:rsid w:val="00BC1A4E"/>
    <w:rsid w:val="00BC4790"/>
    <w:rsid w:val="00BC5DC7"/>
    <w:rsid w:val="00BC6B8B"/>
    <w:rsid w:val="00BC73D8"/>
    <w:rsid w:val="00BD316A"/>
    <w:rsid w:val="00BD52D7"/>
    <w:rsid w:val="00BD5AD2"/>
    <w:rsid w:val="00BD7000"/>
    <w:rsid w:val="00BE22F3"/>
    <w:rsid w:val="00BE58CC"/>
    <w:rsid w:val="00BE5B52"/>
    <w:rsid w:val="00BE7B8D"/>
    <w:rsid w:val="00BF0993"/>
    <w:rsid w:val="00BF10A9"/>
    <w:rsid w:val="00BF1703"/>
    <w:rsid w:val="00BF231C"/>
    <w:rsid w:val="00BF4765"/>
    <w:rsid w:val="00BF51E5"/>
    <w:rsid w:val="00BF74A6"/>
    <w:rsid w:val="00C009BF"/>
    <w:rsid w:val="00C013AD"/>
    <w:rsid w:val="00C03DFC"/>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4EA"/>
    <w:rsid w:val="00C42130"/>
    <w:rsid w:val="00C423A4"/>
    <w:rsid w:val="00C44BF5"/>
    <w:rsid w:val="00C513E5"/>
    <w:rsid w:val="00C521D6"/>
    <w:rsid w:val="00C55232"/>
    <w:rsid w:val="00C553A4"/>
    <w:rsid w:val="00C55A06"/>
    <w:rsid w:val="00C55D03"/>
    <w:rsid w:val="00C601BC"/>
    <w:rsid w:val="00C617DA"/>
    <w:rsid w:val="00C62293"/>
    <w:rsid w:val="00C6329F"/>
    <w:rsid w:val="00C63340"/>
    <w:rsid w:val="00C643F9"/>
    <w:rsid w:val="00C64E95"/>
    <w:rsid w:val="00C71372"/>
    <w:rsid w:val="00C72410"/>
    <w:rsid w:val="00C7287F"/>
    <w:rsid w:val="00C80CB8"/>
    <w:rsid w:val="00C819F8"/>
    <w:rsid w:val="00C8248C"/>
    <w:rsid w:val="00C84E33"/>
    <w:rsid w:val="00C86D6F"/>
    <w:rsid w:val="00C87AA6"/>
    <w:rsid w:val="00C905FC"/>
    <w:rsid w:val="00C92D03"/>
    <w:rsid w:val="00C9319C"/>
    <w:rsid w:val="00C9435D"/>
    <w:rsid w:val="00C94DF2"/>
    <w:rsid w:val="00C96741"/>
    <w:rsid w:val="00CA2D1B"/>
    <w:rsid w:val="00CA375D"/>
    <w:rsid w:val="00CA662A"/>
    <w:rsid w:val="00CA757E"/>
    <w:rsid w:val="00CA7AFD"/>
    <w:rsid w:val="00CA7C3C"/>
    <w:rsid w:val="00CB0189"/>
    <w:rsid w:val="00CB0BA2"/>
    <w:rsid w:val="00CB1A42"/>
    <w:rsid w:val="00CB1B0C"/>
    <w:rsid w:val="00CB2C0B"/>
    <w:rsid w:val="00CB517D"/>
    <w:rsid w:val="00CC038D"/>
    <w:rsid w:val="00CC08DB"/>
    <w:rsid w:val="00CC2355"/>
    <w:rsid w:val="00CC39FF"/>
    <w:rsid w:val="00CC3C2F"/>
    <w:rsid w:val="00CC4AC8"/>
    <w:rsid w:val="00CC4AFB"/>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CF7DE0"/>
    <w:rsid w:val="00D008FD"/>
    <w:rsid w:val="00D0321C"/>
    <w:rsid w:val="00D035EC"/>
    <w:rsid w:val="00D041E4"/>
    <w:rsid w:val="00D06AB1"/>
    <w:rsid w:val="00D072ED"/>
    <w:rsid w:val="00D07A16"/>
    <w:rsid w:val="00D1067E"/>
    <w:rsid w:val="00D10F50"/>
    <w:rsid w:val="00D11272"/>
    <w:rsid w:val="00D126F5"/>
    <w:rsid w:val="00D1489E"/>
    <w:rsid w:val="00D20737"/>
    <w:rsid w:val="00D21E81"/>
    <w:rsid w:val="00D223DE"/>
    <w:rsid w:val="00D25805"/>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0785"/>
    <w:rsid w:val="00D51BF3"/>
    <w:rsid w:val="00D66846"/>
    <w:rsid w:val="00D675FB"/>
    <w:rsid w:val="00D6788D"/>
    <w:rsid w:val="00D71F25"/>
    <w:rsid w:val="00D72A9C"/>
    <w:rsid w:val="00D77031"/>
    <w:rsid w:val="00D84941"/>
    <w:rsid w:val="00D84FA1"/>
    <w:rsid w:val="00D851F0"/>
    <w:rsid w:val="00D86DB7"/>
    <w:rsid w:val="00D903CC"/>
    <w:rsid w:val="00D926D0"/>
    <w:rsid w:val="00D93030"/>
    <w:rsid w:val="00D93A6D"/>
    <w:rsid w:val="00D941D8"/>
    <w:rsid w:val="00D950E1"/>
    <w:rsid w:val="00D952A6"/>
    <w:rsid w:val="00D9597F"/>
    <w:rsid w:val="00D97F99"/>
    <w:rsid w:val="00DA1E08"/>
    <w:rsid w:val="00DA24F8"/>
    <w:rsid w:val="00DA28E8"/>
    <w:rsid w:val="00DA38D3"/>
    <w:rsid w:val="00DA3932"/>
    <w:rsid w:val="00DA3AFC"/>
    <w:rsid w:val="00DA5191"/>
    <w:rsid w:val="00DA64F8"/>
    <w:rsid w:val="00DA6C15"/>
    <w:rsid w:val="00DB0258"/>
    <w:rsid w:val="00DB38EE"/>
    <w:rsid w:val="00DB447E"/>
    <w:rsid w:val="00DB498B"/>
    <w:rsid w:val="00DB66CA"/>
    <w:rsid w:val="00DB6BCA"/>
    <w:rsid w:val="00DB72B3"/>
    <w:rsid w:val="00DB73F7"/>
    <w:rsid w:val="00DC0321"/>
    <w:rsid w:val="00DC0DA3"/>
    <w:rsid w:val="00DC3067"/>
    <w:rsid w:val="00DC370B"/>
    <w:rsid w:val="00DC57C4"/>
    <w:rsid w:val="00DC5B90"/>
    <w:rsid w:val="00DD00FF"/>
    <w:rsid w:val="00DD0619"/>
    <w:rsid w:val="00DD07FB"/>
    <w:rsid w:val="00DD25C6"/>
    <w:rsid w:val="00DD4FE5"/>
    <w:rsid w:val="00DD54B0"/>
    <w:rsid w:val="00DD57EE"/>
    <w:rsid w:val="00DD6BCC"/>
    <w:rsid w:val="00DE0A4B"/>
    <w:rsid w:val="00DE2410"/>
    <w:rsid w:val="00DE2939"/>
    <w:rsid w:val="00DE2A1F"/>
    <w:rsid w:val="00DE6E81"/>
    <w:rsid w:val="00DE703F"/>
    <w:rsid w:val="00DE7595"/>
    <w:rsid w:val="00DF1961"/>
    <w:rsid w:val="00DF44DE"/>
    <w:rsid w:val="00DF5F11"/>
    <w:rsid w:val="00E01138"/>
    <w:rsid w:val="00E02DFB"/>
    <w:rsid w:val="00E030F9"/>
    <w:rsid w:val="00E0311A"/>
    <w:rsid w:val="00E03138"/>
    <w:rsid w:val="00E03D68"/>
    <w:rsid w:val="00E06404"/>
    <w:rsid w:val="00E065D2"/>
    <w:rsid w:val="00E11A85"/>
    <w:rsid w:val="00E1221E"/>
    <w:rsid w:val="00E12495"/>
    <w:rsid w:val="00E12D4E"/>
    <w:rsid w:val="00E15CCD"/>
    <w:rsid w:val="00E202EF"/>
    <w:rsid w:val="00E203B0"/>
    <w:rsid w:val="00E210B5"/>
    <w:rsid w:val="00E23D99"/>
    <w:rsid w:val="00E2552F"/>
    <w:rsid w:val="00E3137A"/>
    <w:rsid w:val="00E32CCF"/>
    <w:rsid w:val="00E34A98"/>
    <w:rsid w:val="00E35D1E"/>
    <w:rsid w:val="00E364F9"/>
    <w:rsid w:val="00E365FA"/>
    <w:rsid w:val="00E36789"/>
    <w:rsid w:val="00E44A83"/>
    <w:rsid w:val="00E45B82"/>
    <w:rsid w:val="00E502C1"/>
    <w:rsid w:val="00E502DD"/>
    <w:rsid w:val="00E507B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1EE3"/>
    <w:rsid w:val="00E822E8"/>
    <w:rsid w:val="00E82554"/>
    <w:rsid w:val="00E82606"/>
    <w:rsid w:val="00E846C8"/>
    <w:rsid w:val="00E84957"/>
    <w:rsid w:val="00E84A55"/>
    <w:rsid w:val="00E85BFF"/>
    <w:rsid w:val="00E85EB0"/>
    <w:rsid w:val="00E90391"/>
    <w:rsid w:val="00E906C2"/>
    <w:rsid w:val="00E9311F"/>
    <w:rsid w:val="00E934D1"/>
    <w:rsid w:val="00E94AF0"/>
    <w:rsid w:val="00E95D13"/>
    <w:rsid w:val="00E95DD3"/>
    <w:rsid w:val="00E969D5"/>
    <w:rsid w:val="00E97DB0"/>
    <w:rsid w:val="00EA1240"/>
    <w:rsid w:val="00EA58D1"/>
    <w:rsid w:val="00EA61BC"/>
    <w:rsid w:val="00EA681A"/>
    <w:rsid w:val="00EA735B"/>
    <w:rsid w:val="00EB17DE"/>
    <w:rsid w:val="00EB1E69"/>
    <w:rsid w:val="00EB2086"/>
    <w:rsid w:val="00EB5C82"/>
    <w:rsid w:val="00EB5EDF"/>
    <w:rsid w:val="00EB60FE"/>
    <w:rsid w:val="00EB74DB"/>
    <w:rsid w:val="00EC5359"/>
    <w:rsid w:val="00EC562A"/>
    <w:rsid w:val="00ED01C7"/>
    <w:rsid w:val="00ED066B"/>
    <w:rsid w:val="00ED067A"/>
    <w:rsid w:val="00ED25D1"/>
    <w:rsid w:val="00ED2B50"/>
    <w:rsid w:val="00EE0350"/>
    <w:rsid w:val="00EE0719"/>
    <w:rsid w:val="00EE0E80"/>
    <w:rsid w:val="00EE54A6"/>
    <w:rsid w:val="00EE613F"/>
    <w:rsid w:val="00EE7295"/>
    <w:rsid w:val="00EE7869"/>
    <w:rsid w:val="00EF02D1"/>
    <w:rsid w:val="00EF054A"/>
    <w:rsid w:val="00EF3235"/>
    <w:rsid w:val="00EF76EA"/>
    <w:rsid w:val="00EF7E72"/>
    <w:rsid w:val="00F05EF1"/>
    <w:rsid w:val="00F06C0D"/>
    <w:rsid w:val="00F06D37"/>
    <w:rsid w:val="00F07B9D"/>
    <w:rsid w:val="00F11586"/>
    <w:rsid w:val="00F1183B"/>
    <w:rsid w:val="00F11C9F"/>
    <w:rsid w:val="00F12263"/>
    <w:rsid w:val="00F1409D"/>
    <w:rsid w:val="00F14214"/>
    <w:rsid w:val="00F157A9"/>
    <w:rsid w:val="00F21AE2"/>
    <w:rsid w:val="00F25BB6"/>
    <w:rsid w:val="00F26B7E"/>
    <w:rsid w:val="00F27A3B"/>
    <w:rsid w:val="00F30FCB"/>
    <w:rsid w:val="00F33817"/>
    <w:rsid w:val="00F3387E"/>
    <w:rsid w:val="00F420D5"/>
    <w:rsid w:val="00F42DF7"/>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FFF"/>
    <w:rsid w:val="00F7581A"/>
    <w:rsid w:val="00F81141"/>
    <w:rsid w:val="00F833BA"/>
    <w:rsid w:val="00F84FD0"/>
    <w:rsid w:val="00F859A8"/>
    <w:rsid w:val="00F86D87"/>
    <w:rsid w:val="00F9108B"/>
    <w:rsid w:val="00F91349"/>
    <w:rsid w:val="00F93A8A"/>
    <w:rsid w:val="00F93DB7"/>
    <w:rsid w:val="00F95248"/>
    <w:rsid w:val="00F956A9"/>
    <w:rsid w:val="00F963ED"/>
    <w:rsid w:val="00F966CF"/>
    <w:rsid w:val="00F96CAE"/>
    <w:rsid w:val="00F97C99"/>
    <w:rsid w:val="00FA2D81"/>
    <w:rsid w:val="00FA36DD"/>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F0C"/>
    <w:rsid w:val="00FF3E7D"/>
    <w:rsid w:val="00FF5B99"/>
    <w:rsid w:val="00FF6040"/>
    <w:rsid w:val="00FF730C"/>
    <w:rsid w:val="00FF73F4"/>
    <w:rsid w:val="00FF7CE4"/>
    <w:rsid w:val="00FF7E39"/>
    <w:rsid w:val="16E901EE"/>
    <w:rsid w:val="1DBB2D93"/>
    <w:rsid w:val="1F7F8184"/>
    <w:rsid w:val="2DDFB474"/>
    <w:rsid w:val="379F2623"/>
    <w:rsid w:val="37FDDC61"/>
    <w:rsid w:val="393E37B8"/>
    <w:rsid w:val="3AFF8F99"/>
    <w:rsid w:val="3BF9AEA8"/>
    <w:rsid w:val="3D7CA211"/>
    <w:rsid w:val="3DC793B7"/>
    <w:rsid w:val="3DFA720B"/>
    <w:rsid w:val="3FE6C698"/>
    <w:rsid w:val="3FECC9E8"/>
    <w:rsid w:val="4E6B77B5"/>
    <w:rsid w:val="56DFF8B9"/>
    <w:rsid w:val="5CC73E07"/>
    <w:rsid w:val="5EAD5FB3"/>
    <w:rsid w:val="66C72276"/>
    <w:rsid w:val="69EF7F6C"/>
    <w:rsid w:val="6ADFAAB9"/>
    <w:rsid w:val="6B1F3E71"/>
    <w:rsid w:val="6E8F25B8"/>
    <w:rsid w:val="6ECFDED9"/>
    <w:rsid w:val="6F3F937E"/>
    <w:rsid w:val="6F57B38C"/>
    <w:rsid w:val="72CF5640"/>
    <w:rsid w:val="757FBD2D"/>
    <w:rsid w:val="75FB5BBD"/>
    <w:rsid w:val="76EFE8AA"/>
    <w:rsid w:val="76F7A2AC"/>
    <w:rsid w:val="77FF5449"/>
    <w:rsid w:val="7DECE807"/>
    <w:rsid w:val="7EB7C2C6"/>
    <w:rsid w:val="7EEA4D3E"/>
    <w:rsid w:val="7F7F1C24"/>
    <w:rsid w:val="7FF54DB2"/>
    <w:rsid w:val="8CFDC5F2"/>
    <w:rsid w:val="956FC994"/>
    <w:rsid w:val="95FFC020"/>
    <w:rsid w:val="96EF9F85"/>
    <w:rsid w:val="9FF7CEB7"/>
    <w:rsid w:val="B7B675E3"/>
    <w:rsid w:val="B7BFB448"/>
    <w:rsid w:val="B7FFCBED"/>
    <w:rsid w:val="BAFF2996"/>
    <w:rsid w:val="BC6B04E0"/>
    <w:rsid w:val="BFDF04CD"/>
    <w:rsid w:val="BFF30422"/>
    <w:rsid w:val="CAF91147"/>
    <w:rsid w:val="CB6B4500"/>
    <w:rsid w:val="D3754346"/>
    <w:rsid w:val="D7ADC9CB"/>
    <w:rsid w:val="D9DFAEE6"/>
    <w:rsid w:val="DECF6A45"/>
    <w:rsid w:val="DEFE91A3"/>
    <w:rsid w:val="DFF57856"/>
    <w:rsid w:val="DFF7E379"/>
    <w:rsid w:val="E1FF1417"/>
    <w:rsid w:val="EBBF7539"/>
    <w:rsid w:val="ECF617EC"/>
    <w:rsid w:val="ED7D2841"/>
    <w:rsid w:val="EE3F4E0B"/>
    <w:rsid w:val="EED7897A"/>
    <w:rsid w:val="EFFCD4E4"/>
    <w:rsid w:val="F36B2E39"/>
    <w:rsid w:val="F6B77E10"/>
    <w:rsid w:val="F7A44A3A"/>
    <w:rsid w:val="F7A94533"/>
    <w:rsid w:val="F9679E53"/>
    <w:rsid w:val="F9DB929F"/>
    <w:rsid w:val="FBFB31E3"/>
    <w:rsid w:val="FCB7F221"/>
    <w:rsid w:val="FD1B33DA"/>
    <w:rsid w:val="FDF77D41"/>
    <w:rsid w:val="FE870158"/>
    <w:rsid w:val="FEBB9C7E"/>
    <w:rsid w:val="FEF60B80"/>
    <w:rsid w:val="FEFD65EE"/>
    <w:rsid w:val="FF5E5104"/>
    <w:rsid w:val="FFFDAB4D"/>
    <w:rsid w:val="FFFF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semiHidden/>
    <w:unhideWhenUsed/>
    <w:qFormat/>
    <w:uiPriority w:val="0"/>
    <w:rPr>
      <w:rFonts w:ascii="Arial" w:hAnsi="Arial" w:eastAsia="黑体"/>
      <w:sz w:val="20"/>
    </w:r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link w:val="231"/>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标准文件_正文公式 Char"/>
    <w:link w:val="114"/>
    <w:qFormat/>
    <w:uiPriority w:val="0"/>
    <w:rPr>
      <w:rFonts w:ascii="宋体" w:hAnsi="宋体"/>
    </w:rPr>
  </w:style>
  <w:style w:type="paragraph" w:customStyle="1" w:styleId="232">
    <w:name w:val="Table Paragraph"/>
    <w:basedOn w:val="1"/>
    <w:qFormat/>
    <w:uiPriority w:val="1"/>
    <w:pPr>
      <w:spacing w:before="136"/>
      <w:ind w:hanging="180"/>
    </w:pPr>
    <w:rPr>
      <w:rFonts w:ascii="宋体" w:hAnsi="宋体" w:eastAsia="宋体" w:cs="宋体"/>
      <w:lang w:val="fr-FR"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inspu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6EBB74108DA4A809DBB81848EFC11AD"/>
        <w:style w:val=""/>
        <w:category>
          <w:name w:val="常规"/>
          <w:gallery w:val="placeholder"/>
        </w:category>
        <w:types>
          <w:type w:val="bbPlcHdr"/>
        </w:types>
        <w:behaviors>
          <w:behavior w:val="content"/>
        </w:behaviors>
        <w:description w:val=""/>
        <w:guid w:val="{30AF94D4-A15A-4942-96DC-30EA9FBE6E72}"/>
      </w:docPartPr>
      <w:docPartBody>
        <w:p>
          <w:pPr>
            <w:pStyle w:val="5"/>
          </w:pPr>
          <w:r>
            <w:rPr>
              <w:rStyle w:val="4"/>
              <w:rFonts w:hint="eastAsia"/>
            </w:rPr>
            <w:t>单击或点击此处输入文字。</w:t>
          </w:r>
        </w:p>
      </w:docPartBody>
    </w:docPart>
    <w:docPart>
      <w:docPartPr>
        <w:name w:val="F28C475969A045A0859DAE53A94A3BCC"/>
        <w:style w:val=""/>
        <w:category>
          <w:name w:val="常规"/>
          <w:gallery w:val="placeholder"/>
        </w:category>
        <w:types>
          <w:type w:val="bbPlcHdr"/>
        </w:types>
        <w:behaviors>
          <w:behavior w:val="content"/>
        </w:behaviors>
        <w:description w:val=""/>
        <w:guid w:val="{CEB84C75-307C-4C6C-A9F1-7312210CC5E2}"/>
      </w:docPartPr>
      <w:docPartBody>
        <w:p>
          <w:pPr>
            <w:pStyle w:val="6"/>
          </w:pPr>
          <w:r>
            <w:rPr>
              <w:rStyle w:val="4"/>
              <w:rFonts w:hint="eastAsia"/>
            </w:rPr>
            <w:t>选择一项。</w:t>
          </w:r>
        </w:p>
      </w:docPartBody>
    </w:docPart>
    <w:docPart>
      <w:docPartPr>
        <w:name w:val="227777D746D4417DB703296CE8B369AE"/>
        <w:style w:val=""/>
        <w:category>
          <w:name w:val="常规"/>
          <w:gallery w:val="placeholder"/>
        </w:category>
        <w:types>
          <w:type w:val="bbPlcHdr"/>
        </w:types>
        <w:behaviors>
          <w:behavior w:val="content"/>
        </w:behaviors>
        <w:description w:val=""/>
        <w:guid w:val="{709B8739-1DD3-40D9-8992-4E74A77E8E9E}"/>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64"/>
    <w:rsid w:val="00134073"/>
    <w:rsid w:val="004A0E24"/>
    <w:rsid w:val="00632210"/>
    <w:rsid w:val="006E0064"/>
    <w:rsid w:val="008E1BFB"/>
    <w:rsid w:val="00AA635E"/>
    <w:rsid w:val="00EC4868"/>
    <w:rsid w:val="00F56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6EBB74108DA4A809DBB81848EFC11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28C475969A045A0859DAE53A94A3B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27777D746D4417DB703296CE8B369A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22</Pages>
  <Words>1331</Words>
  <Characters>7587</Characters>
  <Lines>63</Lines>
  <Paragraphs>17</Paragraphs>
  <TotalTime>6</TotalTime>
  <ScaleCrop>false</ScaleCrop>
  <LinksUpToDate>false</LinksUpToDate>
  <CharactersWithSpaces>8901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2022-11-18T19:28:00Z</dcterms:created>
  <dc:creator>8</dc:creator>
  <dc:description>&lt;config cover="true" show_menu="true" version="1.0.0" doctype="SDKXY"&gt;_x000d_
&lt;/config&gt;</dc:description>
  <cp:lastModifiedBy>雯</cp:lastModifiedBy>
  <cp:lastPrinted>2024-03-21T17:00:00Z</cp:lastPrinted>
  <dcterms:modified xsi:type="dcterms:W3CDTF">2024-08-08T08:34:36Z</dcterms:modified>
  <dc:title>地方标准</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2052-12.1.0.16729</vt:lpwstr>
  </property>
  <property fmtid="{D5CDD505-2E9C-101B-9397-08002B2CF9AE}" pid="15" name="ICV">
    <vt:lpwstr>18B7AC9BEBCD48E58BE0BE911F6ADC13_12</vt:lpwstr>
  </property>
</Properties>
</file>