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ind w:firstLine="1044"/>
        <w:jc w:val="center"/>
        <w:rPr>
          <w:rFonts w:ascii="楷体" w:hAnsi="楷体" w:eastAsia="楷体" w:cs="楷体"/>
          <w:b/>
          <w:bCs/>
          <w:sz w:val="52"/>
          <w:szCs w:val="52"/>
        </w:rPr>
      </w:pPr>
    </w:p>
    <w:p>
      <w:pPr>
        <w:spacing w:afterLines="100"/>
        <w:ind w:firstLine="1044"/>
        <w:jc w:val="center"/>
        <w:rPr>
          <w:rFonts w:ascii="楷体" w:hAnsi="楷体" w:eastAsia="楷体" w:cs="楷体"/>
          <w:b/>
          <w:bCs/>
          <w:sz w:val="52"/>
          <w:szCs w:val="52"/>
        </w:rPr>
      </w:pPr>
    </w:p>
    <w:p>
      <w:pPr>
        <w:spacing w:afterLines="100"/>
        <w:ind w:firstLine="1044"/>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2020年鄂州市公平竞争审查</w:t>
      </w:r>
    </w:p>
    <w:p>
      <w:pPr>
        <w:tabs>
          <w:tab w:val="left" w:pos="142"/>
        </w:tabs>
        <w:spacing w:afterLines="100"/>
        <w:ind w:firstLine="2610" w:firstLineChars="500"/>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第三方评估报告</w:t>
      </w:r>
    </w:p>
    <w:p>
      <w:pPr>
        <w:spacing w:afterLines="100"/>
        <w:ind w:firstLine="560"/>
        <w:jc w:val="center"/>
        <w:rPr>
          <w:rFonts w:ascii="宋体" w:hAnsi="宋体" w:cs="宋体"/>
          <w:sz w:val="28"/>
          <w:szCs w:val="28"/>
        </w:rPr>
      </w:pPr>
    </w:p>
    <w:p>
      <w:pPr>
        <w:spacing w:afterLines="100"/>
        <w:ind w:firstLine="560"/>
        <w:rPr>
          <w:rFonts w:ascii="宋体" w:hAnsi="宋体" w:cs="宋体"/>
          <w:sz w:val="28"/>
          <w:szCs w:val="28"/>
        </w:rPr>
      </w:pPr>
    </w:p>
    <w:p>
      <w:pPr>
        <w:spacing w:afterLines="100"/>
        <w:ind w:firstLine="560"/>
        <w:rPr>
          <w:rFonts w:ascii="宋体" w:hAnsi="宋体" w:cs="宋体"/>
          <w:sz w:val="28"/>
          <w:szCs w:val="28"/>
        </w:rPr>
      </w:pPr>
    </w:p>
    <w:p>
      <w:pPr>
        <w:spacing w:afterLines="100"/>
        <w:ind w:firstLine="560"/>
        <w:jc w:val="center"/>
        <w:rPr>
          <w:rFonts w:ascii="宋体" w:hAnsi="宋体" w:cs="宋体"/>
          <w:sz w:val="28"/>
          <w:szCs w:val="28"/>
        </w:rPr>
      </w:pPr>
    </w:p>
    <w:p>
      <w:pPr>
        <w:spacing w:afterLines="100"/>
        <w:ind w:firstLine="560"/>
        <w:jc w:val="center"/>
        <w:rPr>
          <w:rFonts w:ascii="宋体" w:hAnsi="宋体" w:cs="宋体"/>
          <w:sz w:val="28"/>
          <w:szCs w:val="28"/>
        </w:rPr>
      </w:pPr>
    </w:p>
    <w:p>
      <w:pPr>
        <w:widowControl/>
        <w:spacing w:before="100" w:beforeAutospacing="1" w:after="100" w:afterAutospacing="1" w:line="240" w:lineRule="auto"/>
        <w:ind w:firstLine="0" w:firstLineChars="0"/>
        <w:jc w:val="center"/>
        <w:outlineLvl w:val="1"/>
        <w:rPr>
          <w:rFonts w:ascii="宋体" w:hAnsi="宋体" w:cs="宋体"/>
          <w:b/>
          <w:bCs/>
          <w:sz w:val="36"/>
          <w:szCs w:val="36"/>
        </w:rPr>
      </w:pPr>
    </w:p>
    <w:p>
      <w:pPr>
        <w:widowControl/>
        <w:spacing w:before="100" w:beforeAutospacing="1" w:after="100" w:afterAutospacing="1" w:line="240" w:lineRule="auto"/>
        <w:ind w:firstLine="0" w:firstLineChars="0"/>
        <w:jc w:val="center"/>
        <w:outlineLvl w:val="1"/>
        <w:rPr>
          <w:rFonts w:ascii="宋体" w:hAnsi="宋体" w:cs="宋体"/>
          <w:b/>
          <w:bCs/>
          <w:sz w:val="36"/>
          <w:szCs w:val="36"/>
        </w:rPr>
      </w:pPr>
    </w:p>
    <w:p>
      <w:pPr>
        <w:widowControl/>
        <w:spacing w:before="100" w:beforeAutospacing="1" w:after="100" w:afterAutospacing="1" w:line="240" w:lineRule="auto"/>
        <w:ind w:firstLine="0" w:firstLineChars="0"/>
        <w:jc w:val="center"/>
        <w:outlineLvl w:val="1"/>
        <w:rPr>
          <w:rFonts w:ascii="宋体" w:hAnsi="宋体" w:cs="宋体"/>
          <w:b/>
          <w:bCs/>
          <w:sz w:val="36"/>
          <w:szCs w:val="36"/>
        </w:rPr>
      </w:pPr>
    </w:p>
    <w:p>
      <w:pPr>
        <w:widowControl/>
        <w:spacing w:before="100" w:beforeAutospacing="1" w:after="100" w:afterAutospacing="1" w:line="240" w:lineRule="auto"/>
        <w:ind w:firstLine="0" w:firstLineChars="0"/>
        <w:jc w:val="center"/>
        <w:outlineLvl w:val="1"/>
        <w:rPr>
          <w:rFonts w:hint="eastAsia" w:ascii="黑体" w:hAnsi="黑体" w:eastAsia="黑体" w:cs="黑体"/>
          <w:b/>
          <w:bCs/>
          <w:sz w:val="36"/>
          <w:szCs w:val="36"/>
        </w:rPr>
      </w:pPr>
      <w:r>
        <w:rPr>
          <w:rFonts w:hint="eastAsia" w:ascii="黑体" w:hAnsi="黑体" w:eastAsia="黑体" w:cs="黑体"/>
          <w:b/>
          <w:bCs/>
          <w:sz w:val="36"/>
          <w:szCs w:val="36"/>
        </w:rPr>
        <w:t>湖北伸道律师事务所</w:t>
      </w:r>
    </w:p>
    <w:p>
      <w:pPr>
        <w:spacing w:afterLines="100"/>
        <w:ind w:firstLine="3039" w:firstLineChars="1009"/>
        <w:rPr>
          <w:rFonts w:hint="eastAsia" w:ascii="黑体" w:hAnsi="黑体" w:eastAsia="黑体" w:cs="黑体"/>
          <w:b/>
          <w:bCs/>
          <w:sz w:val="30"/>
          <w:szCs w:val="30"/>
        </w:rPr>
      </w:pPr>
      <w:r>
        <w:rPr>
          <w:rFonts w:hint="eastAsia" w:ascii="黑体" w:hAnsi="黑体" w:eastAsia="黑体" w:cs="黑体"/>
          <w:b/>
          <w:bCs/>
          <w:sz w:val="30"/>
          <w:szCs w:val="30"/>
        </w:rPr>
        <w:t>2020年12月16日</w:t>
      </w:r>
    </w:p>
    <w:p>
      <w:pPr>
        <w:spacing w:afterLines="100"/>
        <w:ind w:firstLine="3039" w:firstLineChars="1009"/>
        <w:rPr>
          <w:rFonts w:ascii="宋体" w:hAnsi="宋体" w:cs="宋体"/>
          <w:b/>
          <w:bCs/>
          <w:sz w:val="30"/>
          <w:szCs w:val="30"/>
        </w:rPr>
      </w:pPr>
    </w:p>
    <w:p>
      <w:pPr>
        <w:spacing w:afterLines="100"/>
        <w:ind w:firstLine="3039" w:firstLineChars="1009"/>
        <w:rPr>
          <w:rFonts w:ascii="宋体" w:hAnsi="宋体" w:cs="宋体"/>
          <w:b/>
          <w:bCs/>
          <w:sz w:val="30"/>
          <w:szCs w:val="30"/>
        </w:rPr>
      </w:pPr>
    </w:p>
    <w:p>
      <w:pPr>
        <w:adjustRightInd w:val="0"/>
        <w:snapToGrid w:val="0"/>
        <w:spacing w:afterLines="100" w:line="276" w:lineRule="auto"/>
        <w:ind w:firstLine="643"/>
        <w:jc w:val="center"/>
        <w:rPr>
          <w:rFonts w:ascii="黑体" w:hAnsi="黑体" w:eastAsia="黑体" w:cs="黑体"/>
          <w:b/>
          <w:bCs/>
          <w:sz w:val="44"/>
          <w:szCs w:val="44"/>
        </w:rPr>
      </w:pPr>
      <w:r>
        <w:rPr>
          <w:rFonts w:hint="eastAsia" w:ascii="黑体" w:hAnsi="黑体" w:eastAsia="黑体" w:cs="黑体"/>
          <w:b/>
          <w:bCs/>
          <w:sz w:val="44"/>
          <w:szCs w:val="44"/>
        </w:rPr>
        <w:t>目  录</w:t>
      </w:r>
    </w:p>
    <w:p>
      <w:pPr>
        <w:keepNext w:val="0"/>
        <w:keepLines w:val="0"/>
        <w:pageBreakBefore w:val="0"/>
        <w:widowControl w:val="0"/>
        <w:kinsoku/>
        <w:wordWrap/>
        <w:overflowPunct/>
        <w:topLinePunct w:val="0"/>
        <w:autoSpaceDE/>
        <w:autoSpaceDN/>
        <w:bidi w:val="0"/>
        <w:adjustRightInd w:val="0"/>
        <w:snapToGrid w:val="0"/>
        <w:spacing w:line="560" w:lineRule="exact"/>
        <w:ind w:firstLineChars="71"/>
        <w:textAlignment w:val="auto"/>
        <w:outlineLvl w:val="9"/>
        <w:rPr>
          <w:rFonts w:ascii="黑体" w:hAnsi="黑体" w:eastAsia="黑体" w:cs="黑体"/>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概况</w:t>
      </w:r>
    </w:p>
    <w:p>
      <w:pPr>
        <w:keepNext w:val="0"/>
        <w:keepLines w:val="0"/>
        <w:pageBreakBefore w:val="0"/>
        <w:widowControl w:val="0"/>
        <w:kinsoku/>
        <w:wordWrap/>
        <w:overflowPunct/>
        <w:topLinePunct w:val="0"/>
        <w:autoSpaceDE/>
        <w:autoSpaceDN/>
        <w:bidi w:val="0"/>
        <w:adjustRightInd w:val="0"/>
        <w:snapToGrid w:val="0"/>
        <w:spacing w:line="560" w:lineRule="exact"/>
        <w:ind w:right="185" w:rightChars="88" w:firstLine="228" w:firstLineChars="71"/>
        <w:jc w:val="left"/>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评估范围和内容</w:t>
      </w:r>
    </w:p>
    <w:p>
      <w:pPr>
        <w:keepNext w:val="0"/>
        <w:keepLines w:val="0"/>
        <w:pageBreakBefore w:val="0"/>
        <w:widowControl w:val="0"/>
        <w:kinsoku/>
        <w:wordWrap/>
        <w:overflowPunct/>
        <w:topLinePunct w:val="0"/>
        <w:autoSpaceDE/>
        <w:autoSpaceDN/>
        <w:bidi w:val="0"/>
        <w:adjustRightInd w:val="0"/>
        <w:snapToGrid w:val="0"/>
        <w:spacing w:line="560" w:lineRule="exact"/>
        <w:ind w:firstLine="228" w:firstLineChars="71"/>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评估依据</w:t>
      </w:r>
    </w:p>
    <w:p>
      <w:pPr>
        <w:keepNext w:val="0"/>
        <w:keepLines w:val="0"/>
        <w:pageBreakBefore w:val="0"/>
        <w:widowControl w:val="0"/>
        <w:kinsoku/>
        <w:wordWrap/>
        <w:overflowPunct/>
        <w:topLinePunct w:val="0"/>
        <w:autoSpaceDE/>
        <w:autoSpaceDN/>
        <w:bidi w:val="0"/>
        <w:adjustRightInd w:val="0"/>
        <w:snapToGrid w:val="0"/>
        <w:spacing w:line="560" w:lineRule="exact"/>
        <w:ind w:firstLine="228" w:firstLineChars="71"/>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评估标准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五、评估方法</w:t>
      </w:r>
    </w:p>
    <w:p>
      <w:pPr>
        <w:keepNext w:val="0"/>
        <w:keepLines w:val="0"/>
        <w:pageBreakBefore w:val="0"/>
        <w:widowControl w:val="0"/>
        <w:kinsoku/>
        <w:wordWrap/>
        <w:overflowPunct/>
        <w:topLinePunct w:val="0"/>
        <w:autoSpaceDE/>
        <w:autoSpaceDN/>
        <w:bidi w:val="0"/>
        <w:adjustRightInd w:val="0"/>
        <w:snapToGrid w:val="0"/>
        <w:spacing w:line="560" w:lineRule="exact"/>
        <w:ind w:firstLineChars="71"/>
        <w:textAlignment w:val="auto"/>
        <w:outlineLvl w:val="9"/>
        <w:rPr>
          <w:rFonts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、评估基本情况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（一）评估过程及样本收集</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（二）公平竞争审查机制建立、落实情况</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（三）存量政策措施清理、增量政策措施审查情况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（四）利害关系人、社会公众以及新闻媒体对制度实施情况的相关评价和意见建议</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（五）制度实施中存在的问题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227" w:firstLineChars="71"/>
        <w:textAlignment w:val="auto"/>
        <w:outlineLvl w:val="9"/>
        <w:rPr>
          <w:rFonts w:hint="eastAsia" w:ascii="仿宋" w:hAnsi="仿宋" w:eastAsia="仿宋" w:cs="仿宋"/>
          <w:sz w:val="32"/>
          <w:szCs w:val="32"/>
        </w:rPr>
      </w:pPr>
      <w:r>
        <w:rPr>
          <w:rFonts w:hint="eastAsia" w:ascii="仿宋" w:hAnsi="仿宋" w:eastAsia="仿宋" w:cs="仿宋"/>
          <w:sz w:val="32"/>
          <w:szCs w:val="32"/>
        </w:rPr>
        <w:t>（六）评估对象政策措施违反公平竞争审查标准情况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71"/>
        <w:textAlignment w:val="auto"/>
        <w:outlineLvl w:val="9"/>
        <w:rPr>
          <w:rFonts w:ascii="黑体" w:hAnsi="黑体" w:eastAsia="黑体" w:cs="黑体"/>
          <w:b/>
          <w:bCs/>
          <w:sz w:val="32"/>
          <w:szCs w:val="32"/>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、评估结论</w:t>
      </w:r>
    </w:p>
    <w:p>
      <w:pPr>
        <w:keepNext w:val="0"/>
        <w:keepLines w:val="0"/>
        <w:pageBreakBefore w:val="0"/>
        <w:widowControl w:val="0"/>
        <w:kinsoku/>
        <w:wordWrap/>
        <w:overflowPunct/>
        <w:topLinePunct w:val="0"/>
        <w:autoSpaceDE/>
        <w:autoSpaceDN/>
        <w:bidi w:val="0"/>
        <w:adjustRightInd w:val="0"/>
        <w:snapToGrid w:val="0"/>
        <w:spacing w:line="560" w:lineRule="exact"/>
        <w:ind w:firstLineChars="71"/>
        <w:textAlignment w:val="auto"/>
        <w:outlineLvl w:val="9"/>
        <w:rPr>
          <w:rFonts w:ascii="黑体" w:hAnsi="黑体" w:eastAsia="黑体" w:cs="黑体"/>
          <w:b/>
          <w:bCs/>
          <w:sz w:val="32"/>
          <w:szCs w:val="32"/>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、主要建议</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cs="黑体" w:asciiTheme="minorEastAsia" w:hAnsiTheme="minorEastAsia"/>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附件 1：鄂州市公平竞争审查工作联席会议成员单位</w:t>
      </w:r>
    </w:p>
    <w:p>
      <w:pPr>
        <w:keepNext w:val="0"/>
        <w:keepLines w:val="0"/>
        <w:pageBreakBefore w:val="0"/>
        <w:widowControl w:val="0"/>
        <w:kinsoku/>
        <w:wordWrap/>
        <w:overflowPunct/>
        <w:topLinePunct w:val="0"/>
        <w:autoSpaceDE/>
        <w:autoSpaceDN/>
        <w:bidi w:val="0"/>
        <w:adjustRightInd w:val="0"/>
        <w:snapToGrid w:val="0"/>
        <w:spacing w:line="560" w:lineRule="exact"/>
        <w:ind w:left="1120" w:hanging="1280" w:hangingChars="400"/>
        <w:textAlignment w:val="auto"/>
        <w:outlineLvl w:val="9"/>
        <w:rPr>
          <w:rFonts w:hint="eastAsia" w:ascii="仿宋" w:hAnsi="仿宋" w:eastAsia="仿宋" w:cs="仿宋"/>
          <w:sz w:val="32"/>
          <w:szCs w:val="32"/>
        </w:rPr>
      </w:pPr>
      <w:r>
        <w:rPr>
          <w:rFonts w:hint="eastAsia" w:ascii="仿宋" w:hAnsi="仿宋" w:eastAsia="仿宋" w:cs="仿宋"/>
          <w:bCs/>
          <w:sz w:val="32"/>
          <w:szCs w:val="32"/>
        </w:rPr>
        <w:t>附件2：湖北伸道律师事务所关于开展公平竞争审查第三方评估有关事项的通知</w:t>
      </w:r>
    </w:p>
    <w:p>
      <w:pPr>
        <w:keepNext w:val="0"/>
        <w:keepLines w:val="0"/>
        <w:pageBreakBefore w:val="0"/>
        <w:widowControl w:val="0"/>
        <w:kinsoku/>
        <w:wordWrap/>
        <w:overflowPunct/>
        <w:topLinePunct w:val="0"/>
        <w:autoSpaceDE/>
        <w:autoSpaceDN/>
        <w:bidi w:val="0"/>
        <w:adjustRightInd w:val="0"/>
        <w:snapToGrid w:val="0"/>
        <w:spacing w:line="560" w:lineRule="exact"/>
        <w:ind w:left="988" w:hanging="1129" w:hangingChars="353"/>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附件 3：实地调研日程表</w:t>
      </w:r>
    </w:p>
    <w:p>
      <w:pPr>
        <w:keepNext w:val="0"/>
        <w:keepLines w:val="0"/>
        <w:pageBreakBefore w:val="0"/>
        <w:widowControl w:val="0"/>
        <w:kinsoku/>
        <w:wordWrap/>
        <w:overflowPunct/>
        <w:topLinePunct w:val="0"/>
        <w:autoSpaceDE/>
        <w:autoSpaceDN/>
        <w:bidi w:val="0"/>
        <w:adjustRightInd w:val="0"/>
        <w:snapToGrid w:val="0"/>
        <w:spacing w:line="560" w:lineRule="exact"/>
        <w:ind w:left="988" w:hanging="1129" w:hangingChars="353"/>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附件 4：公平竞争审查第三方评估涉及的政策措施、问卷数量汇总</w:t>
      </w:r>
    </w:p>
    <w:p>
      <w:pPr>
        <w:adjustRightInd w:val="0"/>
        <w:snapToGrid w:val="0"/>
        <w:ind w:left="988" w:hanging="1129" w:hangingChars="353"/>
        <w:rPr>
          <w:rFonts w:hint="eastAsia" w:ascii="仿宋" w:hAnsi="仿宋" w:eastAsia="仿宋" w:cs="仿宋"/>
          <w:bCs/>
          <w:sz w:val="32"/>
          <w:szCs w:val="32"/>
        </w:rPr>
      </w:pPr>
      <w:r>
        <w:rPr>
          <w:rFonts w:hint="eastAsia" w:ascii="仿宋" w:hAnsi="仿宋" w:eastAsia="仿宋" w:cs="仿宋"/>
          <w:bCs/>
          <w:sz w:val="32"/>
          <w:szCs w:val="32"/>
        </w:rPr>
        <w:t>附件 5：</w:t>
      </w:r>
      <w:r>
        <w:rPr>
          <w:rFonts w:hint="eastAsia" w:ascii="仿宋" w:hAnsi="仿宋" w:eastAsia="仿宋" w:cs="仿宋"/>
          <w:bCs/>
          <w:color w:val="auto"/>
          <w:sz w:val="32"/>
          <w:szCs w:val="32"/>
        </w:rPr>
        <w:t>违反公平竞争审查</w:t>
      </w:r>
      <w:r>
        <w:rPr>
          <w:rFonts w:hint="eastAsia" w:ascii="仿宋" w:hAnsi="仿宋" w:eastAsia="仿宋" w:cs="仿宋"/>
          <w:bCs/>
          <w:color w:val="auto"/>
          <w:sz w:val="32"/>
          <w:szCs w:val="32"/>
          <w:lang w:val="en-US" w:eastAsia="zh-CN"/>
        </w:rPr>
        <w:t>标准第三方评估</w:t>
      </w:r>
      <w:r>
        <w:rPr>
          <w:rFonts w:hint="eastAsia" w:ascii="仿宋" w:hAnsi="仿宋" w:eastAsia="仿宋" w:cs="仿宋"/>
          <w:bCs/>
          <w:sz w:val="32"/>
          <w:szCs w:val="32"/>
        </w:rPr>
        <w:t>审查表</w:t>
      </w:r>
    </w:p>
    <w:p>
      <w:pPr>
        <w:ind w:firstLine="194" w:firstLineChars="44"/>
        <w:jc w:val="center"/>
        <w:rPr>
          <w:rFonts w:cs="楷体" w:asciiTheme="majorEastAsia" w:hAnsiTheme="majorEastAsia" w:eastAsiaTheme="majorEastAsia"/>
          <w:b/>
          <w:bCs/>
          <w:sz w:val="44"/>
          <w:szCs w:val="44"/>
        </w:rPr>
      </w:pPr>
    </w:p>
    <w:p>
      <w:pPr>
        <w:ind w:left="0" w:leftChars="0" w:firstLine="1767" w:firstLineChars="400"/>
        <w:jc w:val="both"/>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2020年鄂州市公平竞争审查</w:t>
      </w:r>
    </w:p>
    <w:p>
      <w:pPr>
        <w:tabs>
          <w:tab w:val="left" w:pos="142"/>
        </w:tabs>
        <w:ind w:firstLine="194" w:firstLineChars="44"/>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第三方评估报告</w:t>
      </w:r>
    </w:p>
    <w:p>
      <w:pPr>
        <w:tabs>
          <w:tab w:val="left" w:pos="142"/>
        </w:tabs>
        <w:ind w:firstLine="194" w:firstLineChars="44"/>
        <w:jc w:val="center"/>
        <w:rPr>
          <w:rFonts w:cs="楷体" w:asciiTheme="majorEastAsia" w:hAnsiTheme="majorEastAsia" w:eastAsiaTheme="majorEastAsia"/>
          <w:b/>
          <w:bCs/>
          <w:sz w:val="44"/>
          <w:szCs w:val="44"/>
        </w:rPr>
      </w:pPr>
    </w:p>
    <w:p>
      <w:pPr>
        <w:pStyle w:val="7"/>
        <w:shd w:val="clear" w:color="auto" w:fill="FFFFFF"/>
        <w:spacing w:before="0" w:beforeAutospacing="0" w:after="0" w:afterAutospacing="0" w:line="560" w:lineRule="exact"/>
        <w:ind w:firstLine="640" w:firstLineChars="200"/>
        <w:rPr>
          <w:rFonts w:hint="eastAsia" w:ascii="仿宋" w:hAnsi="仿宋" w:eastAsia="仿宋"/>
          <w:sz w:val="32"/>
          <w:szCs w:val="32"/>
        </w:rPr>
      </w:pPr>
    </w:p>
    <w:p>
      <w:pPr>
        <w:pStyle w:val="7"/>
        <w:shd w:val="clear" w:color="auto" w:fill="FFFFFF"/>
        <w:spacing w:before="0" w:beforeAutospacing="0" w:after="0" w:afterAutospacing="0" w:line="560" w:lineRule="exact"/>
        <w:ind w:firstLine="3520" w:firstLineChars="1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一、概况</w:t>
      </w:r>
    </w:p>
    <w:p>
      <w:pPr>
        <w:pStyle w:val="7"/>
        <w:shd w:val="clear" w:color="auto" w:fill="FFFFFF"/>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为推动</w:t>
      </w:r>
      <w:r>
        <w:rPr>
          <w:rFonts w:hint="eastAsia" w:ascii="仿宋" w:hAnsi="仿宋" w:eastAsia="仿宋"/>
          <w:sz w:val="32"/>
          <w:szCs w:val="32"/>
          <w:lang w:val="en-US" w:eastAsia="zh-CN"/>
        </w:rPr>
        <w:t>鄂州市</w:t>
      </w:r>
      <w:r>
        <w:rPr>
          <w:rFonts w:hint="eastAsia" w:ascii="仿宋" w:hAnsi="仿宋" w:eastAsia="仿宋"/>
          <w:sz w:val="32"/>
          <w:szCs w:val="32"/>
        </w:rPr>
        <w:t>公平竞争审查</w:t>
      </w:r>
      <w:r>
        <w:rPr>
          <w:rFonts w:hint="eastAsia" w:ascii="仿宋" w:hAnsi="仿宋" w:eastAsia="仿宋"/>
          <w:sz w:val="32"/>
          <w:szCs w:val="32"/>
          <w:lang w:val="en-US" w:eastAsia="zh-CN"/>
        </w:rPr>
        <w:t>制度</w:t>
      </w:r>
      <w:r>
        <w:rPr>
          <w:rFonts w:hint="eastAsia" w:ascii="仿宋" w:hAnsi="仿宋" w:eastAsia="仿宋"/>
          <w:sz w:val="32"/>
          <w:szCs w:val="32"/>
        </w:rPr>
        <w:t>深入</w:t>
      </w:r>
      <w:r>
        <w:rPr>
          <w:rFonts w:hint="eastAsia" w:ascii="仿宋" w:hAnsi="仿宋" w:eastAsia="仿宋"/>
          <w:sz w:val="32"/>
          <w:szCs w:val="32"/>
          <w:lang w:val="en-US" w:eastAsia="zh-CN"/>
        </w:rPr>
        <w:t>有效</w:t>
      </w:r>
      <w:r>
        <w:rPr>
          <w:rFonts w:hint="eastAsia" w:ascii="仿宋" w:hAnsi="仿宋" w:eastAsia="仿宋"/>
          <w:sz w:val="32"/>
          <w:szCs w:val="32"/>
        </w:rPr>
        <w:t>实施，</w:t>
      </w:r>
      <w:r>
        <w:rPr>
          <w:rFonts w:hint="eastAsia" w:ascii="仿宋" w:hAnsi="仿宋" w:eastAsia="仿宋"/>
          <w:sz w:val="32"/>
          <w:szCs w:val="32"/>
          <w:lang w:val="en-US" w:eastAsia="zh-CN"/>
        </w:rPr>
        <w:t>营</w:t>
      </w:r>
      <w:r>
        <w:rPr>
          <w:rFonts w:hint="eastAsia" w:ascii="仿宋" w:hAnsi="仿宋" w:eastAsia="仿宋"/>
          <w:sz w:val="32"/>
          <w:szCs w:val="32"/>
        </w:rPr>
        <w:t>造公平竞争</w:t>
      </w:r>
      <w:r>
        <w:rPr>
          <w:rFonts w:hint="eastAsia" w:ascii="仿宋" w:hAnsi="仿宋" w:eastAsia="仿宋"/>
          <w:sz w:val="32"/>
          <w:szCs w:val="32"/>
          <w:lang w:val="en-US" w:eastAsia="zh-CN"/>
        </w:rPr>
        <w:t>的制度环境、</w:t>
      </w:r>
      <w:r>
        <w:rPr>
          <w:rFonts w:hint="eastAsia" w:ascii="仿宋" w:hAnsi="仿宋" w:eastAsia="仿宋"/>
          <w:sz w:val="32"/>
          <w:szCs w:val="32"/>
        </w:rPr>
        <w:t>市场环境，根据鄂州市公平竞争审查工作联席会议关于进行公平竞争审查第三方评估的工作部署，湖北伸道律师事务所受鄂州市公平竞争审查联席会议办公室（市市场监督管理局）委托</w:t>
      </w:r>
      <w:r>
        <w:rPr>
          <w:rFonts w:hint="eastAsia" w:ascii="仿宋" w:hAnsi="仿宋" w:eastAsia="仿宋"/>
          <w:color w:val="auto"/>
          <w:sz w:val="32"/>
          <w:szCs w:val="32"/>
        </w:rPr>
        <w:t>，</w:t>
      </w:r>
      <w:r>
        <w:rPr>
          <w:rFonts w:hint="eastAsia" w:ascii="仿宋" w:hAnsi="仿宋" w:eastAsia="仿宋"/>
          <w:color w:val="auto"/>
          <w:sz w:val="32"/>
          <w:szCs w:val="32"/>
          <w:lang w:val="en-US" w:eastAsia="zh-CN"/>
        </w:rPr>
        <w:t>依据相关标准和程序，运用科学、系统、规范的评估方法及《2020年鄂州市公平竞争审查第三方评估实施方案》具体要求，</w:t>
      </w:r>
      <w:r>
        <w:rPr>
          <w:rFonts w:hint="eastAsia" w:ascii="仿宋" w:hAnsi="仿宋" w:eastAsia="仿宋"/>
          <w:sz w:val="32"/>
          <w:szCs w:val="32"/>
        </w:rPr>
        <w:t>对鄂州市落实公平竞争审查制度和营造公平竞争制度环境情况进行</w:t>
      </w:r>
      <w:r>
        <w:rPr>
          <w:rFonts w:hint="eastAsia" w:ascii="仿宋" w:hAnsi="仿宋" w:eastAsia="仿宋"/>
          <w:sz w:val="32"/>
          <w:szCs w:val="32"/>
          <w:lang w:val="en-US" w:eastAsia="zh-CN"/>
        </w:rPr>
        <w:t>综合</w:t>
      </w:r>
      <w:r>
        <w:rPr>
          <w:rFonts w:hint="eastAsia" w:ascii="仿宋" w:hAnsi="仿宋" w:eastAsia="仿宋"/>
          <w:sz w:val="32"/>
          <w:szCs w:val="32"/>
        </w:rPr>
        <w:t>评估，并针对评估过程中发现的问题提出意见和建议。</w:t>
      </w:r>
    </w:p>
    <w:p>
      <w:pPr>
        <w:widowControl/>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本次</w:t>
      </w:r>
      <w:r>
        <w:rPr>
          <w:rFonts w:hint="eastAsia" w:ascii="仿宋" w:hAnsi="仿宋" w:eastAsia="仿宋" w:cs="宋体"/>
          <w:color w:val="auto"/>
          <w:kern w:val="0"/>
          <w:sz w:val="32"/>
          <w:szCs w:val="32"/>
        </w:rPr>
        <w:t>公平竞争审查第三方评估工作</w:t>
      </w:r>
      <w:r>
        <w:rPr>
          <w:rFonts w:hint="eastAsia" w:ascii="仿宋" w:hAnsi="仿宋" w:eastAsia="仿宋" w:cs="宋体"/>
          <w:color w:val="auto"/>
          <w:kern w:val="0"/>
          <w:sz w:val="32"/>
          <w:szCs w:val="32"/>
          <w:lang w:val="en-US" w:eastAsia="zh-CN"/>
        </w:rPr>
        <w:t>遵循</w:t>
      </w:r>
      <w:r>
        <w:rPr>
          <w:rFonts w:hint="eastAsia" w:ascii="仿宋" w:hAnsi="仿宋" w:eastAsia="仿宋" w:cs="宋体"/>
          <w:color w:val="auto"/>
          <w:kern w:val="0"/>
          <w:sz w:val="32"/>
          <w:szCs w:val="32"/>
        </w:rPr>
        <w:t>客观公正、科学严谨、专业规范、公开透明、注重实效的原则。</w:t>
      </w:r>
    </w:p>
    <w:p>
      <w:pPr>
        <w:widowControl/>
        <w:ind w:left="0" w:leftChars="0" w:firstLine="3213" w:firstLineChars="1000"/>
        <w:jc w:val="left"/>
        <w:rPr>
          <w:rFonts w:ascii="黑体" w:hAnsi="黑体" w:eastAsia="黑体" w:cs="黑体"/>
          <w:b/>
          <w:kern w:val="0"/>
          <w:sz w:val="32"/>
          <w:szCs w:val="32"/>
        </w:rPr>
      </w:pPr>
      <w:r>
        <w:rPr>
          <w:rFonts w:hint="eastAsia" w:ascii="黑体" w:hAnsi="黑体" w:eastAsia="黑体" w:cs="黑体"/>
          <w:b/>
          <w:kern w:val="0"/>
          <w:sz w:val="32"/>
          <w:szCs w:val="32"/>
          <w:lang w:val="en-US" w:eastAsia="zh-CN"/>
        </w:rPr>
        <w:t>二</w:t>
      </w:r>
      <w:r>
        <w:rPr>
          <w:rFonts w:hint="eastAsia" w:ascii="黑体" w:hAnsi="黑体" w:eastAsia="黑体" w:cs="黑体"/>
          <w:b/>
          <w:kern w:val="0"/>
          <w:sz w:val="32"/>
          <w:szCs w:val="32"/>
        </w:rPr>
        <w:t>、评估</w:t>
      </w:r>
      <w:r>
        <w:rPr>
          <w:rFonts w:hint="eastAsia" w:ascii="黑体" w:hAnsi="黑体" w:eastAsia="黑体" w:cs="黑体"/>
          <w:b/>
          <w:kern w:val="0"/>
          <w:sz w:val="32"/>
          <w:szCs w:val="32"/>
          <w:lang w:val="en-US" w:eastAsia="zh-CN"/>
        </w:rPr>
        <w:t>范围和内容</w:t>
      </w:r>
    </w:p>
    <w:p>
      <w:pPr>
        <w:widowControl/>
        <w:ind w:firstLine="640"/>
        <w:jc w:val="left"/>
        <w:rPr>
          <w:rFonts w:ascii="仿宋" w:hAnsi="仿宋" w:eastAsia="仿宋" w:cs="宋体"/>
          <w:b/>
          <w:kern w:val="0"/>
          <w:sz w:val="32"/>
          <w:szCs w:val="32"/>
        </w:rPr>
      </w:pPr>
      <w:r>
        <w:rPr>
          <w:rFonts w:hint="eastAsia" w:ascii="华文楷体" w:hAnsi="华文楷体" w:eastAsia="华文楷体" w:cs="华文楷体"/>
          <w:b/>
          <w:kern w:val="0"/>
          <w:sz w:val="32"/>
          <w:szCs w:val="32"/>
        </w:rPr>
        <w:t>(一</w:t>
      </w:r>
      <w:r>
        <w:rPr>
          <w:rFonts w:hint="eastAsia" w:ascii="华文楷体" w:hAnsi="华文楷体" w:eastAsia="华文楷体" w:cs="华文楷体"/>
          <w:b/>
          <w:kern w:val="0"/>
          <w:sz w:val="32"/>
          <w:szCs w:val="32"/>
          <w:lang w:eastAsia="zh-CN"/>
        </w:rPr>
        <w:t>）</w:t>
      </w:r>
      <w:r>
        <w:rPr>
          <w:rFonts w:hint="eastAsia" w:ascii="仿宋" w:hAnsi="仿宋" w:eastAsia="仿宋" w:cs="宋体"/>
          <w:b/>
          <w:kern w:val="0"/>
          <w:sz w:val="32"/>
          <w:szCs w:val="32"/>
        </w:rPr>
        <w:t>评估范围</w:t>
      </w:r>
    </w:p>
    <w:p>
      <w:pPr>
        <w:widowControl/>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2017年以来</w:t>
      </w:r>
      <w:r>
        <w:rPr>
          <w:rFonts w:hint="eastAsia" w:ascii="仿宋" w:hAnsi="仿宋" w:eastAsia="仿宋" w:cs="宋体"/>
          <w:kern w:val="0"/>
          <w:sz w:val="32"/>
          <w:szCs w:val="32"/>
          <w:lang w:val="en-US" w:eastAsia="zh-CN"/>
        </w:rPr>
        <w:t>鄂州</w:t>
      </w:r>
      <w:r>
        <w:rPr>
          <w:rFonts w:hint="eastAsia" w:ascii="仿宋" w:hAnsi="仿宋" w:eastAsia="仿宋" w:cs="宋体"/>
          <w:kern w:val="0"/>
          <w:sz w:val="32"/>
          <w:szCs w:val="32"/>
        </w:rPr>
        <w:t>市公平竞争审查工作联席会议21家成员单位（附件1）代市政府或自行出台的涉及市场主体经济活动的规章、规范性文件及其他政策措施</w:t>
      </w:r>
      <w:r>
        <w:rPr>
          <w:rFonts w:hint="eastAsia" w:ascii="仿宋" w:hAnsi="仿宋" w:eastAsia="仿宋" w:cs="宋体"/>
          <w:kern w:val="0"/>
          <w:sz w:val="32"/>
          <w:szCs w:val="32"/>
          <w:lang w:eastAsia="zh-CN"/>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2017-2019年每</w:t>
      </w:r>
      <w:r>
        <w:rPr>
          <w:rFonts w:hint="eastAsia" w:ascii="仿宋" w:hAnsi="仿宋" w:eastAsia="仿宋" w:cs="宋体"/>
          <w:kern w:val="0"/>
          <w:sz w:val="32"/>
          <w:szCs w:val="32"/>
          <w:lang w:val="en-US" w:eastAsia="zh-CN"/>
        </w:rPr>
        <w:t>个单位抽取</w:t>
      </w:r>
      <w:r>
        <w:rPr>
          <w:rFonts w:hint="eastAsia" w:ascii="仿宋" w:hAnsi="仿宋" w:eastAsia="仿宋" w:cs="宋体"/>
          <w:kern w:val="0"/>
          <w:sz w:val="32"/>
          <w:szCs w:val="32"/>
        </w:rPr>
        <w:t>存量文件5份/年、2020年</w:t>
      </w:r>
      <w:r>
        <w:rPr>
          <w:rFonts w:hint="eastAsia" w:ascii="仿宋" w:hAnsi="仿宋" w:eastAsia="仿宋" w:cs="宋体"/>
          <w:kern w:val="0"/>
          <w:sz w:val="32"/>
          <w:szCs w:val="32"/>
          <w:lang w:val="en-US" w:eastAsia="zh-CN"/>
        </w:rPr>
        <w:t>每个单位抽取</w:t>
      </w:r>
      <w:r>
        <w:rPr>
          <w:rFonts w:hint="eastAsia" w:ascii="仿宋" w:hAnsi="仿宋" w:eastAsia="仿宋" w:cs="宋体"/>
          <w:kern w:val="0"/>
          <w:sz w:val="32"/>
          <w:szCs w:val="32"/>
        </w:rPr>
        <w:t>增量文件3份</w:t>
      </w:r>
      <w:r>
        <w:rPr>
          <w:rFonts w:hint="eastAsia" w:ascii="仿宋" w:hAnsi="仿宋" w:eastAsia="仿宋" w:cs="宋体"/>
          <w:kern w:val="0"/>
          <w:sz w:val="32"/>
          <w:szCs w:val="32"/>
          <w:lang w:eastAsia="zh-CN"/>
        </w:rPr>
        <w:t>。</w:t>
      </w:r>
    </w:p>
    <w:p>
      <w:pPr>
        <w:widowControl/>
        <w:ind w:left="0" w:leftChars="0"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eastAsia="zh-CN"/>
        </w:rPr>
        <w:t>（</w:t>
      </w:r>
      <w:r>
        <w:rPr>
          <w:rFonts w:hint="eastAsia" w:ascii="仿宋" w:hAnsi="仿宋" w:eastAsia="仿宋" w:cs="宋体"/>
          <w:b/>
          <w:kern w:val="0"/>
          <w:sz w:val="32"/>
          <w:szCs w:val="32"/>
          <w:lang w:val="en-US" w:eastAsia="zh-CN"/>
        </w:rPr>
        <w:t>二</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评估内容</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本次第三方评估内容主要包括：</w:t>
      </w:r>
      <w:r>
        <w:rPr>
          <w:rFonts w:hint="eastAsia" w:ascii="仿宋" w:hAnsi="仿宋" w:eastAsia="仿宋" w:cs="宋体"/>
          <w:kern w:val="0"/>
          <w:sz w:val="32"/>
          <w:szCs w:val="32"/>
          <w:lang w:val="en-US" w:eastAsia="zh-CN"/>
        </w:rPr>
        <w:t>公平竞争审查</w:t>
      </w:r>
      <w:r>
        <w:rPr>
          <w:rFonts w:hint="eastAsia" w:ascii="仿宋" w:hAnsi="仿宋" w:eastAsia="仿宋" w:cs="宋体"/>
          <w:kern w:val="0"/>
          <w:sz w:val="32"/>
          <w:szCs w:val="32"/>
        </w:rPr>
        <w:t>工作部署落实情况；增量政策措施审查情况；存量政策措施清理情况；</w:t>
      </w:r>
      <w:r>
        <w:rPr>
          <w:rFonts w:hint="eastAsia" w:ascii="仿宋" w:hAnsi="仿宋" w:eastAsia="仿宋" w:cs="宋体"/>
          <w:color w:val="auto"/>
          <w:kern w:val="0"/>
          <w:sz w:val="32"/>
          <w:szCs w:val="32"/>
        </w:rPr>
        <w:t>适用例外规定出台的政策措施</w:t>
      </w:r>
      <w:r>
        <w:rPr>
          <w:rFonts w:hint="eastAsia" w:ascii="仿宋" w:hAnsi="仿宋" w:eastAsia="仿宋" w:cs="宋体"/>
          <w:color w:val="auto"/>
          <w:kern w:val="0"/>
          <w:sz w:val="32"/>
          <w:szCs w:val="32"/>
          <w:lang w:val="en-US" w:eastAsia="zh-CN"/>
        </w:rPr>
        <w:t>执行情况；政策措施制定机关审查机制建设情况；</w:t>
      </w:r>
      <w:r>
        <w:rPr>
          <w:rFonts w:hint="eastAsia" w:ascii="仿宋" w:hAnsi="仿宋" w:eastAsia="仿宋" w:cs="宋体"/>
          <w:kern w:val="0"/>
          <w:sz w:val="32"/>
          <w:szCs w:val="32"/>
        </w:rPr>
        <w:t>制度实施成效；总结分析制度实施中存在的问题等；利害关系人、社会公众以及新闻媒体对制度实施情况的相关评价和意见建议等。</w:t>
      </w:r>
    </w:p>
    <w:p>
      <w:pPr>
        <w:widowControl/>
        <w:ind w:firstLine="2891" w:firstLineChars="900"/>
        <w:jc w:val="left"/>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三、</w:t>
      </w:r>
      <w:r>
        <w:rPr>
          <w:rFonts w:hint="eastAsia" w:ascii="黑体" w:hAnsi="黑体" w:eastAsia="黑体" w:cs="黑体"/>
          <w:b/>
          <w:kern w:val="0"/>
          <w:sz w:val="32"/>
          <w:szCs w:val="32"/>
        </w:rPr>
        <w:t>评估依据</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本次评估的依据主要包括但不限于以下内容：</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w:t>
      </w:r>
      <w:r>
        <w:rPr>
          <w:rFonts w:hint="eastAsia" w:ascii="仿宋" w:hAnsi="仿宋" w:eastAsia="仿宋" w:cs="宋体"/>
          <w:kern w:val="0"/>
          <w:sz w:val="32"/>
          <w:szCs w:val="32"/>
        </w:rPr>
        <w:t>《中华人民共和国反垄断法》；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2.《中华人民共和国政府采购法》；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3.《中华人民共和国招标投标法》；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 xml:space="preserve"> 国务院《关于在市场体系建设中建立公平竞争审查制度的意见》（国发</w:t>
      </w:r>
      <w:r>
        <w:rPr>
          <w:rFonts w:hint="eastAsia" w:ascii="仿宋" w:hAnsi="仿宋" w:eastAsia="仿宋" w:cs="宋体"/>
          <w:kern w:val="0"/>
          <w:sz w:val="32"/>
          <w:szCs w:val="32"/>
        </w:rPr>
        <w:t>〔2016〕</w:t>
      </w:r>
      <w:r>
        <w:rPr>
          <w:rFonts w:ascii="仿宋" w:hAnsi="仿宋" w:eastAsia="仿宋" w:cs="宋体"/>
          <w:kern w:val="0"/>
          <w:sz w:val="32"/>
          <w:szCs w:val="32"/>
        </w:rPr>
        <w:t>34号）</w:t>
      </w:r>
      <w:r>
        <w:rPr>
          <w:rFonts w:hint="eastAsia" w:ascii="仿宋" w:hAnsi="仿宋" w:eastAsia="仿宋" w:cs="宋体"/>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5. 《制止滥用行政权力排除、限制竞争行为的暂行规定》（</w:t>
      </w:r>
      <w:r>
        <w:rPr>
          <w:rFonts w:ascii="仿宋" w:hAnsi="仿宋" w:eastAsia="仿宋" w:cs="宋体"/>
          <w:kern w:val="0"/>
          <w:sz w:val="32"/>
          <w:szCs w:val="32"/>
        </w:rPr>
        <w:t>国家市场监督管理总局令第1</w:t>
      </w:r>
      <w:r>
        <w:rPr>
          <w:rFonts w:hint="eastAsia" w:ascii="仿宋" w:hAnsi="仿宋" w:eastAsia="仿宋" w:cs="宋体"/>
          <w:kern w:val="0"/>
          <w:sz w:val="32"/>
          <w:szCs w:val="32"/>
        </w:rPr>
        <w:t>2</w:t>
      </w:r>
      <w:r>
        <w:rPr>
          <w:rFonts w:ascii="仿宋" w:hAnsi="仿宋" w:eastAsia="仿宋" w:cs="宋体"/>
          <w:kern w:val="0"/>
          <w:sz w:val="32"/>
          <w:szCs w:val="32"/>
        </w:rPr>
        <w:t>号</w:t>
      </w:r>
      <w:r>
        <w:rPr>
          <w:rFonts w:hint="eastAsia" w:ascii="仿宋" w:hAnsi="仿宋" w:eastAsia="仿宋" w:cs="宋体"/>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6. 国家发展改革委、财政部、商务部、工商总局、国务院法制办 《公平竞争审查制度实施细则（暂行）》（</w:t>
      </w:r>
      <w:r>
        <w:rPr>
          <w:rFonts w:ascii="仿宋" w:hAnsi="仿宋" w:eastAsia="仿宋" w:cs="宋体"/>
          <w:kern w:val="0"/>
          <w:sz w:val="32"/>
          <w:szCs w:val="32"/>
        </w:rPr>
        <w:t>发改价监〔2017〕1849号</w:t>
      </w:r>
      <w:r>
        <w:rPr>
          <w:rFonts w:hint="eastAsia" w:ascii="仿宋" w:hAnsi="仿宋" w:eastAsia="仿宋" w:cs="宋体"/>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7. </w:t>
      </w:r>
      <w:r>
        <w:rPr>
          <w:rFonts w:ascii="仿宋" w:hAnsi="仿宋" w:eastAsia="仿宋" w:cs="宋体"/>
          <w:kern w:val="0"/>
          <w:sz w:val="32"/>
          <w:szCs w:val="32"/>
        </w:rPr>
        <w:t>国家市场监督管理总局</w:t>
      </w:r>
      <w:r>
        <w:rPr>
          <w:rFonts w:hint="eastAsia" w:ascii="仿宋" w:hAnsi="仿宋" w:eastAsia="仿宋" w:cs="宋体"/>
          <w:kern w:val="0"/>
          <w:sz w:val="32"/>
          <w:szCs w:val="32"/>
        </w:rPr>
        <w:t>《公平竞争审查第三方评估实施指南》</w:t>
      </w:r>
      <w:r>
        <w:rPr>
          <w:rFonts w:ascii="仿宋" w:hAnsi="仿宋" w:eastAsia="仿宋" w:cs="宋体"/>
          <w:kern w:val="0"/>
          <w:sz w:val="32"/>
          <w:szCs w:val="32"/>
        </w:rPr>
        <w:t>〔201</w:t>
      </w:r>
      <w:r>
        <w:rPr>
          <w:rFonts w:hint="eastAsia" w:ascii="仿宋" w:hAnsi="仿宋" w:eastAsia="仿宋" w:cs="宋体"/>
          <w:kern w:val="0"/>
          <w:sz w:val="32"/>
          <w:szCs w:val="32"/>
        </w:rPr>
        <w:t>9年第6 号</w:t>
      </w:r>
      <w:r>
        <w:rPr>
          <w:rFonts w:ascii="仿宋" w:hAnsi="仿宋" w:eastAsia="仿宋" w:cs="宋体"/>
          <w:kern w:val="0"/>
          <w:sz w:val="32"/>
          <w:szCs w:val="32"/>
        </w:rPr>
        <w:t>〕</w:t>
      </w:r>
      <w:r>
        <w:rPr>
          <w:rFonts w:hint="eastAsia" w:ascii="仿宋" w:hAnsi="仿宋" w:eastAsia="仿宋" w:cs="宋体"/>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8. 湖北省人民政府《关于在市场体系建设中建立公平竞争审查制度的通知》（鄂政发〔2016〕66号）；</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9.</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《2020年鄂州市公平竞争审查第三方评估实施方案》（鄂州市监函〔2020〕53号）。 </w:t>
      </w:r>
    </w:p>
    <w:p>
      <w:pPr>
        <w:widowControl/>
        <w:ind w:firstLine="3213" w:firstLineChars="1000"/>
        <w:jc w:val="left"/>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四、</w:t>
      </w:r>
      <w:r>
        <w:rPr>
          <w:rFonts w:hint="eastAsia" w:ascii="黑体" w:hAnsi="黑体" w:eastAsia="黑体" w:cs="黑体"/>
          <w:b/>
          <w:bCs/>
          <w:kern w:val="0"/>
          <w:sz w:val="32"/>
          <w:szCs w:val="32"/>
        </w:rPr>
        <w:t>评估标准</w:t>
      </w:r>
    </w:p>
    <w:p>
      <w:pPr>
        <w:pStyle w:val="7"/>
        <w:shd w:val="clear" w:color="auto" w:fill="FFFFFF"/>
        <w:spacing w:before="0" w:beforeAutospacing="0" w:after="0" w:afterAutospacing="0" w:line="520" w:lineRule="exact"/>
        <w:ind w:firstLine="643" w:firstLineChars="200"/>
        <w:jc w:val="both"/>
        <w:rPr>
          <w:rFonts w:hint="eastAsia" w:ascii="华文楷体" w:hAnsi="华文楷体" w:eastAsia="华文楷体" w:cs="华文楷体"/>
          <w:b/>
          <w:color w:val="191919"/>
          <w:sz w:val="32"/>
          <w:szCs w:val="32"/>
        </w:rPr>
      </w:pP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lang w:val="en-US" w:eastAsia="zh-CN"/>
        </w:rPr>
        <w:t>一</w:t>
      </w: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rPr>
        <w:t>市场准入和退出标准</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lang w:val="en-US" w:eastAsia="zh-CN"/>
        </w:rPr>
        <w:t>1.</w:t>
      </w:r>
      <w:r>
        <w:rPr>
          <w:rFonts w:hint="eastAsia" w:ascii="仿宋" w:hAnsi="仿宋" w:eastAsia="仿宋" w:cs="仿宋_GB2312"/>
          <w:color w:val="191919"/>
          <w:sz w:val="32"/>
          <w:szCs w:val="32"/>
          <w:shd w:val="clear" w:color="auto" w:fill="FFFFFF"/>
        </w:rPr>
        <w:t>不得设置不合理和歧视性的准入和退出条件，包括但不限于：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lang w:val="en-US" w:eastAsia="zh-CN"/>
        </w:rPr>
        <w:t>1</w:t>
      </w: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rPr>
        <w:t>设置明显不必要或者超出实际需要的准入和退出条件，排斥或者限制经营者参与市场竞争；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lang w:val="en-US" w:eastAsia="zh-CN"/>
        </w:rPr>
        <w:t>2</w:t>
      </w: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rPr>
        <w:t>没有法律法规依据或者国务院规定，对不同所有制、地区、组织形式的经营者实施差别化待遇，设置不平等的市场准入和退出条件；</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lang w:val="en-US" w:eastAsia="zh-CN"/>
        </w:rPr>
        <w:t>3</w:t>
      </w: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rPr>
        <w:t>没有法律法规依据或者国务院规定，以备案、登记、注册、名录、年检、监制、认定、认证、审定、指定、配号、换证、要求设立分支机构等形式，设定或者变相设定市场准入障碍；</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lang w:val="en-US" w:eastAsia="zh-CN"/>
        </w:rPr>
        <w:t>4</w:t>
      </w:r>
      <w:r>
        <w:rPr>
          <w:rFonts w:hint="eastAsia" w:ascii="仿宋" w:hAnsi="仿宋" w:eastAsia="仿宋" w:cs="仿宋_GB2312"/>
          <w:color w:val="191919"/>
          <w:sz w:val="32"/>
          <w:szCs w:val="32"/>
          <w:shd w:val="clear" w:color="auto" w:fill="FFFFFF"/>
          <w:lang w:eastAsia="zh-CN"/>
        </w:rPr>
        <w:t>）</w:t>
      </w:r>
      <w:r>
        <w:rPr>
          <w:rFonts w:hint="eastAsia" w:ascii="仿宋" w:hAnsi="仿宋" w:eastAsia="仿宋" w:cs="仿宋_GB2312"/>
          <w:color w:val="191919"/>
          <w:sz w:val="32"/>
          <w:szCs w:val="32"/>
          <w:shd w:val="clear" w:color="auto" w:fill="FFFFFF"/>
        </w:rPr>
        <w:t>没有法律法规依据或者国务院规定，设置消除或者减少经营者之间竞争的市场准入或者退出条件。</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2.未经公平竞争不得授予经营者特许经营权，包括但不限于：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（1）在一般竞争性领域实施特许经营或者以特许经营为名增设行政许可；</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（2）未明确特许经营权期限或者未经法定程序延长特许经营权期限；</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（3）未采取招标投标、竞争性谈判等竞争方式，直接将特许经营权授予特定经营者；</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（4）设置歧视性条件，使经营者无法公平参与特许经营权竞争。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3.不得限定经营、购买、使用特定经营者提供的商品和服务，包括但不限于：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（1）以明确要求、暗示、拒绝或者拖延行政审批、重复检查、不予接入平台或者网络等方式，限定或者变相限定经营、购买、使用特定经营者提供的商品和服务；</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（2）在招标投标中限定投标人所在地、所有制、组织形式，排斥或者限制潜在投标人参与招标投标活动；</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（3）没有法律法规依据，通过设置项目库、名录库等方式，排斥或者限制潜在经营者提供商品和服务。</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4.不得设置没有法律法规依据的审批或者具有行政审批性质的事前备案程序，包括但不限于：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（1）没有法律法规依据增设行政审批事项，增加行政审批环节、条件和程序；</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（2）没有法律法规依据设置具有行政审批性质的前置性备案程序。</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5.不得对市场准入负面清单以外的行业、领域、业务等设置审批程序，主要指没有法律法规依据或者国务院决定，采取禁止进入、限制市场主体资质、限制股权比例、限制经营范围和商业模式等方式，直接或者变相限制市场准入。</w:t>
      </w:r>
    </w:p>
    <w:p>
      <w:pPr>
        <w:pStyle w:val="7"/>
        <w:shd w:val="clear" w:color="auto" w:fill="FFFFFF"/>
        <w:spacing w:before="0" w:beforeAutospacing="0" w:after="0" w:afterAutospacing="0" w:line="520" w:lineRule="exact"/>
        <w:ind w:firstLine="643" w:firstLineChars="200"/>
        <w:jc w:val="both"/>
        <w:rPr>
          <w:rFonts w:hint="eastAsia" w:ascii="华文楷体" w:hAnsi="华文楷体" w:eastAsia="华文楷体" w:cs="华文楷体"/>
          <w:color w:val="191919"/>
          <w:sz w:val="32"/>
          <w:szCs w:val="32"/>
        </w:rPr>
      </w:pP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lang w:val="en-US" w:eastAsia="zh-CN"/>
        </w:rPr>
        <w:t>二</w:t>
      </w: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rPr>
        <w:t>商品和要素自由流动标准</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1.不得对外地和进口商品、服务实行歧视性价格和歧视性补贴政策，包括但不限于：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（1）制定政府定价或者政府指导价时，对外地和进口同类商品、服务制定歧视性价格；</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（2）对相关商品、服务进行补贴时，对外地同类商品、服务和进口同类商品不予补贴或者给予较低补贴。</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2.不得限制外地和进口商品、服务进入本地市场或者阻碍本地商品运出、服务输出，包括但不限于：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（1）对外地商品、服务规定与本地同类商品、服务不同的技术要求、检验标准，或者采取重复检验、重复认证等歧视性技术措施；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（2）对进口商品规定与本地同类商品不同的技术要求、检验标准，或者采取重复检验、重复认证等歧视性技术措施；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（3）没有法律法规依据或者国务院规定，对进口服务规定与本地同类服务不同的技术要求、检验标准，或者采取重复检验、重复认证等歧视性技术措施；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（4）没有法律法规依据，设置专门针对外地和进口商品、服务的专营、专卖、审批、许可；</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（5）没有法律法规依据，在道路、车站、港口、航空港或者本行政区域边界设置关卡，阻碍外地和进口商品、服务进入本地市场或者本地商品运出和服务输出；</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（6）没有法律法规依据，通过软件或者互联网设置屏蔽以及采取其他手段，阻碍外地和进口商品、服务进入本地市场或者本地商品运出和服务输出。</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3.不得排斥或者限制外地经营者参加本地招标投标活动， 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（1）不依法及时有效地发布招标信息；</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（2）直接明确外地经营者不能参与本地特定的招标投标活动；</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（3）对外地经营者设定明显高于本地经营者的资质要求或者评审标准；</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（4）通过设定与招标项目的具体特点和实际需要不相适应或者与合同履行无关的资格、技术和商务条件，变相限制外地经营者参加本地招标投标活动。</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4.不得排斥、限制或者强制外地经营者在本地投资或者设立分支机构，包括但不限于：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（1）直接拒绝外地经营者在本地投资或者设立分支机构；</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（2）没有法律法规依据或者国务院规定，对外地经营者在本地投资的规模、方式以及设立分支机构的地址、模式等进行限制；</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（3）没有法律法规依据，直接强制外地经营者在本地投资或者设立分支机构；</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（4）没有法律法规依据，将在本地投资或者设立分支机构作为参与本地招标投标、享受补贴和优惠政策等的必要条件，变相强制外地经营者在本地投资或者设立分支机构。</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5.不得对外地经营者在本地的投资或者设立的分支机构实行歧视性待遇，包括但不限于：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（1）对外地经营者在本地的投资不给予与本地经营者同等的政策待遇；</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（2）对外地经营者在本地设立的分支机构在经营规模、经营方式、税费缴纳等方面规定与本地经营者不同的要求；</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（3）在节能环保、安全生产、健康卫生、工程质量、市场监管等方面，对外地经营者在本地设立的分支机构规定歧视性监管标准和要求。</w:t>
      </w:r>
    </w:p>
    <w:p>
      <w:pPr>
        <w:pStyle w:val="7"/>
        <w:shd w:val="clear" w:color="auto" w:fill="FFFFFF"/>
        <w:spacing w:before="0" w:beforeAutospacing="0" w:after="0" w:afterAutospacing="0" w:line="520" w:lineRule="exact"/>
        <w:ind w:firstLine="643" w:firstLineChars="200"/>
        <w:jc w:val="both"/>
        <w:rPr>
          <w:rFonts w:ascii="仿宋" w:hAnsi="仿宋" w:eastAsia="仿宋" w:cs="仿宋_GB2312"/>
          <w:b/>
          <w:bCs/>
          <w:color w:val="191919"/>
          <w:sz w:val="32"/>
          <w:szCs w:val="32"/>
        </w:rPr>
      </w:pPr>
      <w:r>
        <w:rPr>
          <w:rFonts w:hint="eastAsia" w:ascii="仿宋" w:hAnsi="仿宋" w:eastAsia="仿宋" w:cs="仿宋_GB2312"/>
          <w:b/>
          <w:bCs/>
          <w:color w:val="191919"/>
          <w:sz w:val="32"/>
          <w:szCs w:val="32"/>
          <w:shd w:val="clear" w:color="auto" w:fill="FFFFFF"/>
          <w:lang w:eastAsia="zh-CN"/>
        </w:rPr>
        <w:t>（</w:t>
      </w:r>
      <w:r>
        <w:rPr>
          <w:rFonts w:hint="eastAsia" w:ascii="仿宋" w:hAnsi="仿宋" w:eastAsia="仿宋" w:cs="仿宋_GB2312"/>
          <w:b/>
          <w:bCs/>
          <w:color w:val="191919"/>
          <w:sz w:val="32"/>
          <w:szCs w:val="32"/>
          <w:shd w:val="clear" w:color="auto" w:fill="FFFFFF"/>
          <w:lang w:val="en-US" w:eastAsia="zh-CN"/>
        </w:rPr>
        <w:t>三</w:t>
      </w:r>
      <w:r>
        <w:rPr>
          <w:rFonts w:hint="eastAsia" w:ascii="仿宋" w:hAnsi="仿宋" w:eastAsia="仿宋" w:cs="仿宋_GB2312"/>
          <w:b/>
          <w:bCs/>
          <w:color w:val="191919"/>
          <w:sz w:val="32"/>
          <w:szCs w:val="32"/>
          <w:shd w:val="clear" w:color="auto" w:fill="FFFFFF"/>
          <w:lang w:eastAsia="zh-CN"/>
        </w:rPr>
        <w:t>）</w:t>
      </w:r>
      <w:r>
        <w:rPr>
          <w:rFonts w:hint="eastAsia" w:ascii="仿宋" w:hAnsi="仿宋" w:eastAsia="仿宋" w:cs="仿宋_GB2312"/>
          <w:b/>
          <w:bCs/>
          <w:color w:val="191919"/>
          <w:sz w:val="32"/>
          <w:szCs w:val="32"/>
          <w:shd w:val="clear" w:color="auto" w:fill="FFFFFF"/>
        </w:rPr>
        <w:t>影响生产经营成本标准</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1.不得违法给予特定经营者优惠政策，包括但不限于：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（1）没有法律法规依据或者国务院规定，给予特定经营者财政奖励和补贴；</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（2）没有法律法规依据或者未经国务院批准，减免特定经营者应当缴纳的税款；</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（3）没有法律法规依据或者国务院规定，以优惠价格或者零地价向特定经营者出让土地，或者以划拨、作价出资方式向特定经营者 供应土地；</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（4）没有法律法规依据或者国务院规定，在环保标准、排污权限等方面给予特定经营者特殊待遇；</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（5）没有法律法规依据或者国务院规定，对特定经营者减免、缓征或停征行政事业性收费、政府性基金、住房公积金等。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安排财政支出一般不得与企业缴纳的税收或非税收入挂钩，主要指根据企业缴纳的税收或者非税收入情况，采取列收列支或者违法违规采取先征后返、即征即退等形式，对企业进行返还，或者给予企业财政奖励或补贴、减免土地出让收入等优惠政策。</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不得违法违规减免或者缓征特定经营者应当缴纳的社会保险费用，主要指没有法律法规依据或者国务院规定，根据经营者规模、所有制形式、组织形式、地区等因素，减免或者缓征特定经营者需要缴纳的基本养老保险费、基本医疗保险费、失业保险费、工伤保险费、生育保险费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4.不得在法律规定之外要求经营者提供或扣留经营者各类保证金，包括但不限于：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（1）没有法律法规或者国务院规定，要求经营者交纳各类保证金；</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（2）在经营者履行相关程序或者完成相关事项后，不及时退还经营者交纳的保证金。</w:t>
      </w:r>
    </w:p>
    <w:p>
      <w:pPr>
        <w:pStyle w:val="7"/>
        <w:shd w:val="clear" w:color="auto" w:fill="FFFFFF"/>
        <w:spacing w:before="0" w:beforeAutospacing="0" w:after="0" w:afterAutospacing="0" w:line="520" w:lineRule="exact"/>
        <w:ind w:firstLine="643" w:firstLineChars="200"/>
        <w:jc w:val="both"/>
        <w:rPr>
          <w:rFonts w:hint="eastAsia" w:ascii="华文楷体" w:hAnsi="华文楷体" w:eastAsia="华文楷体" w:cs="华文楷体"/>
          <w:b/>
          <w:color w:val="191919"/>
          <w:sz w:val="32"/>
          <w:szCs w:val="32"/>
        </w:rPr>
      </w:pP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lang w:val="en-US" w:eastAsia="zh-CN"/>
        </w:rPr>
        <w:t>四</w:t>
      </w:r>
      <w:r>
        <w:rPr>
          <w:rFonts w:hint="eastAsia" w:ascii="华文楷体" w:hAnsi="华文楷体" w:eastAsia="华文楷体" w:cs="华文楷体"/>
          <w:b/>
          <w:color w:val="191919"/>
          <w:sz w:val="32"/>
          <w:szCs w:val="32"/>
          <w:shd w:val="clear" w:color="auto" w:fill="FFFFFF"/>
          <w:lang w:eastAsia="zh-CN"/>
        </w:rPr>
        <w:t>）</w:t>
      </w:r>
      <w:r>
        <w:rPr>
          <w:rFonts w:hint="eastAsia" w:ascii="华文楷体" w:hAnsi="华文楷体" w:eastAsia="华文楷体" w:cs="华文楷体"/>
          <w:b/>
          <w:color w:val="191919"/>
          <w:sz w:val="32"/>
          <w:szCs w:val="32"/>
          <w:shd w:val="clear" w:color="auto" w:fill="FFFFFF"/>
        </w:rPr>
        <w:t>影响生产经营行为标准</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不得强制经营者从事《中华人民共和国反垄断法》规定的垄断行为，主要指以行政命令、行政授权、行政指导或者通过行业协会等方式，强制、组织或者引导经营者达成、实施垄断协议或者实施滥用市场支配地位行为。</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不得违法披露或者违法要求经营者披露生产经营敏感信息，为经营者实施垄断行为提供便利条件。生产经营敏感信息是指除依据法律法规或者国务院规定需要公开之外，生产经营者未主动公开，通过公开渠道无法采集的生产经营数据。主要包括：拟定价格、成本、生产数量、销售数量、生产销售计划、经销商信息、终端客户信息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3.不得超越定价权限进行政府定价，包括但不限于：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（1）对实行政府指导价的商品、服务进行政府定价；</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（2）对不属于本级政府定价目录范围内的商品、服务制定政府定价或者政府指导价；</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（3）违反《中华人民共和国价格法》等法律法规采取价格干预措施。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shd w:val="clear" w:color="auto" w:fill="FFFFFF"/>
        </w:rPr>
      </w:pPr>
      <w:r>
        <w:rPr>
          <w:rFonts w:hint="eastAsia" w:ascii="仿宋" w:hAnsi="仿宋" w:eastAsia="仿宋" w:cs="仿宋_GB2312"/>
          <w:color w:val="191919"/>
          <w:sz w:val="32"/>
          <w:szCs w:val="32"/>
          <w:shd w:val="clear" w:color="auto" w:fill="FFFFFF"/>
        </w:rPr>
        <w:t>4.不得违法干预实行市场调节价的商品和服务的价格水平，包括但不限于：</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（1）制定公布商品和服务的统一执行价、参考价；</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（2）规定商品和服务的最高或者最低限价；</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（3）干预影响商品和服务价格水平的手续费、折扣或者其他费用。</w:t>
      </w:r>
    </w:p>
    <w:p>
      <w:pPr>
        <w:pStyle w:val="7"/>
        <w:shd w:val="clear" w:color="auto" w:fill="FFFFFF"/>
        <w:spacing w:before="0" w:beforeAutospacing="0" w:after="0" w:afterAutospacing="0" w:line="520" w:lineRule="exact"/>
        <w:ind w:firstLine="643" w:firstLineChars="200"/>
        <w:jc w:val="both"/>
        <w:rPr>
          <w:rFonts w:ascii="仿宋" w:hAnsi="仿宋" w:eastAsia="仿宋" w:cs="仿宋_GB2312"/>
          <w:b/>
          <w:color w:val="191919"/>
          <w:sz w:val="32"/>
          <w:szCs w:val="32"/>
        </w:rPr>
      </w:pPr>
      <w:r>
        <w:rPr>
          <w:rFonts w:hint="eastAsia" w:ascii="仿宋" w:hAnsi="仿宋" w:eastAsia="仿宋" w:cs="仿宋_GB2312"/>
          <w:b/>
          <w:color w:val="191919"/>
          <w:sz w:val="32"/>
          <w:szCs w:val="32"/>
          <w:shd w:val="clear" w:color="auto" w:fill="FFFFFF"/>
        </w:rPr>
        <w:t xml:space="preserve"> </w:t>
      </w:r>
      <w:r>
        <w:rPr>
          <w:rFonts w:hint="eastAsia" w:ascii="仿宋" w:hAnsi="仿宋" w:eastAsia="仿宋" w:cs="仿宋_GB2312"/>
          <w:b/>
          <w:color w:val="191919"/>
          <w:sz w:val="32"/>
          <w:szCs w:val="32"/>
          <w:shd w:val="clear" w:color="auto" w:fill="FFFFFF"/>
          <w:lang w:eastAsia="zh-CN"/>
        </w:rPr>
        <w:t>（</w:t>
      </w:r>
      <w:r>
        <w:rPr>
          <w:rFonts w:hint="eastAsia" w:ascii="仿宋" w:hAnsi="仿宋" w:eastAsia="仿宋" w:cs="仿宋_GB2312"/>
          <w:b/>
          <w:color w:val="191919"/>
          <w:sz w:val="32"/>
          <w:szCs w:val="32"/>
          <w:shd w:val="clear" w:color="auto" w:fill="FFFFFF"/>
          <w:lang w:val="en-US" w:eastAsia="zh-CN"/>
        </w:rPr>
        <w:t>五</w:t>
      </w:r>
      <w:r>
        <w:rPr>
          <w:rFonts w:hint="eastAsia" w:ascii="仿宋" w:hAnsi="仿宋" w:eastAsia="仿宋" w:cs="仿宋_GB2312"/>
          <w:b/>
          <w:color w:val="191919"/>
          <w:sz w:val="32"/>
          <w:szCs w:val="32"/>
          <w:shd w:val="clear" w:color="auto" w:fill="FFFFFF"/>
          <w:lang w:eastAsia="zh-CN"/>
        </w:rPr>
        <w:t>）</w:t>
      </w:r>
      <w:r>
        <w:rPr>
          <w:rFonts w:hint="eastAsia" w:ascii="仿宋" w:hAnsi="仿宋" w:eastAsia="仿宋" w:cs="仿宋_GB2312"/>
          <w:b/>
          <w:color w:val="191919"/>
          <w:sz w:val="32"/>
          <w:szCs w:val="32"/>
          <w:shd w:val="clear" w:color="auto" w:fill="FFFFFF"/>
        </w:rPr>
        <w:t>例外规定</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 xml:space="preserve"> 政策制定机关对政策措施进行公平竞争审查时，认为虽然具有一定限制竞争的效果，但属于《意见》规定的为维护国家经济安全、文化安全、涉及国防建设，为实现扶贫开发、救灾救助等社会保障目的，为实现节约能源资源、保护生态环境等社会公共利益以及法律、行政法规规定的例外情形，在同时符合以下条件的情况下可以实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1.对实现政策目的不可或缺，即为实现相关目标必须实施此项政策措施；</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rPr>
      </w:pPr>
      <w:r>
        <w:rPr>
          <w:rFonts w:hint="eastAsia" w:ascii="仿宋" w:hAnsi="仿宋" w:eastAsia="仿宋" w:cs="仿宋_GB2312"/>
          <w:color w:val="191919"/>
          <w:sz w:val="32"/>
          <w:szCs w:val="32"/>
          <w:shd w:val="clear" w:color="auto" w:fill="FFFFFF"/>
        </w:rPr>
        <w:t>2.不会严重排除和限制市场竞争；</w:t>
      </w:r>
    </w:p>
    <w:p>
      <w:pPr>
        <w:pStyle w:val="7"/>
        <w:shd w:val="clear" w:color="auto" w:fill="FFFFFF"/>
        <w:spacing w:before="0" w:beforeAutospacing="0" w:after="0" w:afterAutospacing="0" w:line="520" w:lineRule="exact"/>
        <w:ind w:firstLine="640" w:firstLineChars="200"/>
        <w:jc w:val="both"/>
        <w:rPr>
          <w:rFonts w:ascii="仿宋" w:hAnsi="仿宋" w:eastAsia="仿宋" w:cs="仿宋_GB2312"/>
          <w:color w:val="191919"/>
          <w:sz w:val="32"/>
          <w:szCs w:val="32"/>
          <w:shd w:val="clear" w:color="auto" w:fill="FFFFFF"/>
        </w:rPr>
      </w:pPr>
      <w:r>
        <w:rPr>
          <w:rFonts w:hint="eastAsia" w:ascii="仿宋" w:hAnsi="仿宋" w:eastAsia="仿宋" w:cs="仿宋_GB2312"/>
          <w:color w:val="191919"/>
          <w:sz w:val="32"/>
          <w:szCs w:val="32"/>
          <w:shd w:val="clear" w:color="auto" w:fill="FFFFFF"/>
        </w:rPr>
        <w:t>3.明确实施期限。</w:t>
      </w:r>
    </w:p>
    <w:p>
      <w:pPr>
        <w:widowControl/>
        <w:ind w:firstLine="3213" w:firstLineChars="1000"/>
        <w:jc w:val="left"/>
        <w:rPr>
          <w:rFonts w:hint="eastAsia" w:ascii="黑体" w:hAnsi="黑体" w:eastAsia="黑体" w:cs="黑体"/>
          <w:kern w:val="0"/>
          <w:sz w:val="32"/>
          <w:szCs w:val="32"/>
        </w:rPr>
      </w:pPr>
      <w:r>
        <w:rPr>
          <w:rFonts w:hint="eastAsia" w:ascii="黑体" w:hAnsi="黑体" w:eastAsia="黑体" w:cs="黑体"/>
          <w:b/>
          <w:kern w:val="0"/>
          <w:sz w:val="32"/>
          <w:szCs w:val="32"/>
          <w:lang w:val="en-US" w:eastAsia="zh-CN"/>
        </w:rPr>
        <w:t>五、</w:t>
      </w:r>
      <w:r>
        <w:rPr>
          <w:rFonts w:hint="eastAsia" w:ascii="黑体" w:hAnsi="黑体" w:eastAsia="黑体" w:cs="黑体"/>
          <w:b/>
          <w:kern w:val="0"/>
          <w:sz w:val="32"/>
          <w:szCs w:val="32"/>
        </w:rPr>
        <w:t>评估方法</w:t>
      </w:r>
    </w:p>
    <w:p>
      <w:pPr>
        <w:widowControl/>
        <w:ind w:firstLine="640"/>
        <w:jc w:val="left"/>
        <w:rPr>
          <w:rFonts w:ascii="仿宋" w:hAnsi="仿宋" w:eastAsia="仿宋" w:cs="宋体"/>
          <w:kern w:val="0"/>
          <w:sz w:val="32"/>
          <w:szCs w:val="32"/>
        </w:rPr>
      </w:pPr>
      <w:r>
        <w:rPr>
          <w:rFonts w:hint="eastAsia" w:ascii="仿宋" w:hAnsi="仿宋" w:eastAsia="仿宋" w:cs="宋体"/>
          <w:color w:val="auto"/>
          <w:kern w:val="0"/>
          <w:sz w:val="32"/>
          <w:szCs w:val="32"/>
        </w:rPr>
        <w:t>通过查看</w:t>
      </w:r>
      <w:r>
        <w:rPr>
          <w:rFonts w:hint="eastAsia" w:ascii="仿宋" w:hAnsi="仿宋" w:eastAsia="仿宋" w:cs="宋体"/>
          <w:color w:val="auto"/>
          <w:kern w:val="0"/>
          <w:sz w:val="32"/>
          <w:szCs w:val="32"/>
          <w:lang w:val="en-US" w:eastAsia="zh-CN"/>
        </w:rPr>
        <w:t>书面</w:t>
      </w:r>
      <w:r>
        <w:rPr>
          <w:rFonts w:hint="eastAsia" w:ascii="仿宋" w:hAnsi="仿宋" w:eastAsia="仿宋" w:cs="宋体"/>
          <w:color w:val="auto"/>
          <w:kern w:val="0"/>
          <w:sz w:val="32"/>
          <w:szCs w:val="32"/>
        </w:rPr>
        <w:t>材料</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登录网站</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问卷</w:t>
      </w:r>
      <w:r>
        <w:rPr>
          <w:rFonts w:hint="eastAsia" w:ascii="仿宋" w:hAnsi="仿宋" w:eastAsia="仿宋" w:cs="宋体"/>
          <w:color w:val="auto"/>
          <w:kern w:val="0"/>
          <w:sz w:val="32"/>
          <w:szCs w:val="32"/>
          <w:lang w:val="en-US" w:eastAsia="zh-CN"/>
        </w:rPr>
        <w:t>调查、</w:t>
      </w:r>
      <w:r>
        <w:rPr>
          <w:rFonts w:hint="eastAsia" w:ascii="仿宋" w:hAnsi="仿宋" w:eastAsia="仿宋" w:cs="宋体"/>
          <w:color w:val="auto"/>
          <w:kern w:val="0"/>
          <w:sz w:val="32"/>
          <w:szCs w:val="32"/>
        </w:rPr>
        <w:t>实地调研等方式</w:t>
      </w:r>
      <w:r>
        <w:rPr>
          <w:rFonts w:hint="eastAsia" w:ascii="仿宋" w:hAnsi="仿宋" w:eastAsia="仿宋" w:cs="宋体"/>
          <w:color w:val="auto"/>
          <w:kern w:val="0"/>
          <w:sz w:val="32"/>
          <w:szCs w:val="32"/>
          <w:lang w:val="en-US" w:eastAsia="zh-CN"/>
        </w:rPr>
        <w:t>获取评估素材信息</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采取下列方法</w:t>
      </w:r>
      <w:r>
        <w:rPr>
          <w:rFonts w:hint="eastAsia" w:ascii="仿宋" w:hAnsi="仿宋" w:eastAsia="仿宋" w:cs="宋体"/>
          <w:color w:val="auto"/>
          <w:kern w:val="0"/>
          <w:sz w:val="32"/>
          <w:szCs w:val="32"/>
        </w:rPr>
        <w:t>进行评估。</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一</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信息检索法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登录</w:t>
      </w:r>
      <w:r>
        <w:rPr>
          <w:rFonts w:hint="eastAsia" w:ascii="仿宋" w:hAnsi="仿宋" w:eastAsia="仿宋" w:cs="宋体"/>
          <w:kern w:val="0"/>
          <w:sz w:val="32"/>
          <w:szCs w:val="32"/>
          <w:lang w:val="en-US" w:eastAsia="zh-CN"/>
        </w:rPr>
        <w:t>政府和受评单位门户网站、</w:t>
      </w:r>
      <w:r>
        <w:rPr>
          <w:rFonts w:hint="eastAsia" w:ascii="仿宋" w:hAnsi="仿宋" w:eastAsia="仿宋" w:cs="宋体"/>
          <w:kern w:val="0"/>
          <w:sz w:val="32"/>
          <w:szCs w:val="32"/>
        </w:rPr>
        <w:t>湖北省政府采购网、鄂州公共资源交易网，按照关键词进行搜索，</w:t>
      </w:r>
      <w:r>
        <w:rPr>
          <w:rFonts w:hint="eastAsia" w:ascii="仿宋" w:hAnsi="仿宋" w:eastAsia="仿宋" w:cs="宋体"/>
          <w:kern w:val="0"/>
          <w:sz w:val="32"/>
          <w:szCs w:val="32"/>
          <w:lang w:val="en-US" w:eastAsia="zh-CN"/>
        </w:rPr>
        <w:t>提取涉及市场主体经济活动的政策措施信息</w:t>
      </w:r>
      <w:r>
        <w:rPr>
          <w:rFonts w:hint="eastAsia" w:ascii="仿宋" w:hAnsi="仿宋" w:eastAsia="仿宋" w:cs="宋体"/>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二</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材料分析法</w:t>
      </w:r>
    </w:p>
    <w:p>
      <w:pPr>
        <w:widowControl/>
        <w:ind w:firstLine="640"/>
        <w:jc w:val="left"/>
        <w:rPr>
          <w:rFonts w:hint="eastAsia" w:ascii="仿宋" w:hAnsi="仿宋" w:eastAsia="仿宋" w:cs="宋体"/>
          <w:kern w:val="0"/>
          <w:sz w:val="32"/>
          <w:szCs w:val="32"/>
          <w:lang w:val="en-US" w:eastAsia="zh-CN"/>
        </w:rPr>
      </w:pPr>
      <w:r>
        <w:rPr>
          <w:rFonts w:hint="eastAsia" w:ascii="仿宋" w:hAnsi="仿宋" w:eastAsia="仿宋" w:cs="宋体"/>
          <w:color w:val="auto"/>
          <w:kern w:val="0"/>
          <w:sz w:val="32"/>
          <w:szCs w:val="32"/>
        </w:rPr>
        <w:t>对</w:t>
      </w:r>
      <w:r>
        <w:rPr>
          <w:rFonts w:hint="eastAsia" w:ascii="仿宋" w:hAnsi="仿宋" w:eastAsia="仿宋" w:cs="宋体"/>
          <w:color w:val="auto"/>
          <w:kern w:val="0"/>
          <w:sz w:val="32"/>
          <w:szCs w:val="32"/>
          <w:lang w:val="en-US" w:eastAsia="zh-CN"/>
        </w:rPr>
        <w:t>评估对象</w:t>
      </w:r>
      <w:r>
        <w:rPr>
          <w:rFonts w:hint="eastAsia" w:ascii="仿宋" w:hAnsi="仿宋" w:eastAsia="仿宋" w:cs="宋体"/>
          <w:color w:val="auto"/>
          <w:kern w:val="0"/>
          <w:sz w:val="32"/>
          <w:szCs w:val="32"/>
        </w:rPr>
        <w:t>提交</w:t>
      </w:r>
      <w:r>
        <w:rPr>
          <w:rFonts w:hint="eastAsia" w:ascii="仿宋" w:hAnsi="仿宋" w:eastAsia="仿宋" w:cs="宋体"/>
          <w:color w:val="auto"/>
          <w:kern w:val="0"/>
          <w:sz w:val="32"/>
          <w:szCs w:val="32"/>
          <w:lang w:val="en-US" w:eastAsia="zh-CN"/>
        </w:rPr>
        <w:t>的材料、网站</w:t>
      </w:r>
      <w:r>
        <w:rPr>
          <w:rFonts w:hint="eastAsia" w:ascii="仿宋" w:hAnsi="仿宋" w:eastAsia="仿宋" w:cs="宋体"/>
          <w:color w:val="auto"/>
          <w:kern w:val="0"/>
          <w:sz w:val="32"/>
          <w:szCs w:val="32"/>
        </w:rPr>
        <w:t>提取的</w:t>
      </w:r>
      <w:r>
        <w:rPr>
          <w:rFonts w:hint="eastAsia" w:ascii="仿宋" w:hAnsi="仿宋" w:eastAsia="仿宋" w:cs="宋体"/>
          <w:color w:val="auto"/>
          <w:kern w:val="0"/>
          <w:sz w:val="32"/>
          <w:szCs w:val="32"/>
          <w:lang w:val="en-US" w:eastAsia="zh-CN"/>
        </w:rPr>
        <w:t>信息、实地调研及问卷调查的情况</w:t>
      </w:r>
      <w:r>
        <w:rPr>
          <w:rFonts w:hint="eastAsia" w:ascii="仿宋" w:hAnsi="仿宋" w:eastAsia="仿宋" w:cs="宋体"/>
          <w:kern w:val="0"/>
          <w:sz w:val="32"/>
          <w:szCs w:val="32"/>
        </w:rPr>
        <w:t>进行分析：</w:t>
      </w:r>
      <w:r>
        <w:rPr>
          <w:rFonts w:ascii="仿宋" w:hAnsi="仿宋" w:eastAsia="仿宋" w:cs="宋体"/>
          <w:kern w:val="0"/>
          <w:sz w:val="32"/>
          <w:szCs w:val="32"/>
        </w:rPr>
        <w:t>审查范围是否全面，审查流程是否规范</w:t>
      </w:r>
      <w:r>
        <w:rPr>
          <w:rFonts w:hint="eastAsia" w:ascii="仿宋" w:hAnsi="仿宋" w:eastAsia="仿宋" w:cs="宋体"/>
          <w:kern w:val="0"/>
          <w:sz w:val="32"/>
          <w:szCs w:val="32"/>
        </w:rPr>
        <w:t>，</w:t>
      </w:r>
      <w:r>
        <w:rPr>
          <w:rFonts w:ascii="仿宋" w:hAnsi="仿宋" w:eastAsia="仿宋" w:cs="宋体"/>
          <w:kern w:val="0"/>
          <w:sz w:val="32"/>
          <w:szCs w:val="32"/>
        </w:rPr>
        <w:t>审查</w:t>
      </w:r>
      <w:r>
        <w:rPr>
          <w:rFonts w:hint="eastAsia" w:ascii="仿宋" w:hAnsi="仿宋" w:eastAsia="仿宋" w:cs="宋体"/>
          <w:kern w:val="0"/>
          <w:sz w:val="32"/>
          <w:szCs w:val="32"/>
        </w:rPr>
        <w:t>（</w:t>
      </w:r>
      <w:r>
        <w:rPr>
          <w:rFonts w:ascii="仿宋" w:hAnsi="仿宋" w:eastAsia="仿宋" w:cs="宋体"/>
          <w:kern w:val="0"/>
          <w:sz w:val="32"/>
          <w:szCs w:val="32"/>
        </w:rPr>
        <w:t>清理</w:t>
      </w:r>
      <w:r>
        <w:rPr>
          <w:rFonts w:hint="eastAsia" w:ascii="仿宋" w:hAnsi="仿宋" w:eastAsia="仿宋" w:cs="宋体"/>
          <w:kern w:val="0"/>
          <w:sz w:val="32"/>
          <w:szCs w:val="32"/>
        </w:rPr>
        <w:t>）</w:t>
      </w:r>
      <w:r>
        <w:rPr>
          <w:rFonts w:ascii="仿宋" w:hAnsi="仿宋" w:eastAsia="仿宋" w:cs="宋体"/>
          <w:kern w:val="0"/>
          <w:sz w:val="32"/>
          <w:szCs w:val="32"/>
        </w:rPr>
        <w:t>结论是否准确</w:t>
      </w:r>
      <w:r>
        <w:rPr>
          <w:rFonts w:hint="eastAsia" w:ascii="仿宋" w:hAnsi="仿宋" w:eastAsia="仿宋" w:cs="宋体"/>
          <w:kern w:val="0"/>
          <w:sz w:val="32"/>
          <w:szCs w:val="32"/>
        </w:rPr>
        <w:t>，</w:t>
      </w:r>
      <w:r>
        <w:rPr>
          <w:rFonts w:ascii="仿宋" w:hAnsi="仿宋" w:eastAsia="仿宋" w:cs="宋体"/>
          <w:kern w:val="0"/>
          <w:sz w:val="32"/>
          <w:szCs w:val="32"/>
        </w:rPr>
        <w:t>清理任务是否完成</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公平竞争审查制度建立健全、自我审查开展情况。</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三</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定性与定量分析法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通过汇总、梳理、提炼、归纳相关资料和信息，运用相关基础理论，使用规范统计数据，对政策措施影响市场竞争情况、实施情况等形成客观的定性、定量评估结果。</w:t>
      </w:r>
    </w:p>
    <w:p>
      <w:pPr>
        <w:widowControl/>
        <w:ind w:firstLine="2570" w:firstLineChars="800"/>
        <w:jc w:val="left"/>
        <w:rPr>
          <w:rFonts w:ascii="黑体" w:hAnsi="黑体" w:eastAsia="黑体" w:cs="黑体"/>
          <w:b/>
          <w:kern w:val="0"/>
          <w:sz w:val="32"/>
          <w:szCs w:val="32"/>
        </w:rPr>
      </w:pPr>
      <w:r>
        <w:rPr>
          <w:rFonts w:hint="eastAsia" w:ascii="黑体" w:hAnsi="黑体" w:eastAsia="黑体" w:cs="黑体"/>
          <w:b/>
          <w:kern w:val="0"/>
          <w:sz w:val="32"/>
          <w:szCs w:val="32"/>
          <w:lang w:val="en-US" w:eastAsia="zh-CN"/>
        </w:rPr>
        <w:t>六</w:t>
      </w:r>
      <w:r>
        <w:rPr>
          <w:rFonts w:hint="eastAsia" w:ascii="黑体" w:hAnsi="黑体" w:eastAsia="黑体" w:cs="黑体"/>
          <w:b/>
          <w:kern w:val="0"/>
          <w:sz w:val="32"/>
          <w:szCs w:val="32"/>
        </w:rPr>
        <w:t>、评估基本情况</w:t>
      </w:r>
    </w:p>
    <w:p>
      <w:pPr>
        <w:widowControl/>
        <w:ind w:firstLine="643"/>
        <w:jc w:val="left"/>
        <w:rPr>
          <w:rFonts w:hint="eastAsia" w:ascii="华文楷体" w:hAnsi="华文楷体" w:eastAsia="华文楷体" w:cs="华文楷体"/>
          <w:b/>
          <w:kern w:val="0"/>
          <w:sz w:val="32"/>
          <w:szCs w:val="32"/>
        </w:rPr>
      </w:pPr>
      <w:r>
        <w:rPr>
          <w:rFonts w:hint="eastAsia" w:ascii="华文楷体" w:hAnsi="华文楷体" w:eastAsia="华文楷体" w:cs="华文楷体"/>
          <w:b/>
          <w:kern w:val="0"/>
          <w:sz w:val="32"/>
          <w:szCs w:val="32"/>
        </w:rPr>
        <w:t>（一）评估过程及样本收集</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湖北伸道律师事务所接受评估任务后，组成了以柯国顺律师为组长、胡什兵律师和吴卫华律师为成员的评估工作组，评估人员系统学习了有关“公平竞争审查”领域的法律法规、部门规章、规范性文件及第三方评估操作指引。</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在正式启动第三方评估工作前，评估人员根据《2020年鄂州市公平竞争审查第三方评估实施方案》，积极与市公平竞争审查工作联席办公室（市市场监督管理局）进行对接，就评估方案中的评估目标、内容、标准、方法、步骤、时间安排及报告形式等事项相互征求意见。评估工作组先后制发《湖北伸道律师事务所关于鄂州市公平竞争审查第三方评估工作的实施方案》、《湖北伸道律师事务所关于开展公平竞争审查第三方评估有关事项的通知》（附件2），编制《调研问卷》发送给</w:t>
      </w:r>
      <w:r>
        <w:rPr>
          <w:rFonts w:hint="eastAsia" w:ascii="仿宋" w:hAnsi="仿宋" w:eastAsia="仿宋" w:cs="宋体"/>
          <w:kern w:val="0"/>
          <w:sz w:val="32"/>
          <w:szCs w:val="32"/>
          <w:lang w:val="en-US" w:eastAsia="zh-CN"/>
        </w:rPr>
        <w:t>受评单位</w:t>
      </w:r>
      <w:r>
        <w:rPr>
          <w:rFonts w:hint="eastAsia" w:ascii="仿宋" w:hAnsi="仿宋" w:eastAsia="仿宋" w:cs="宋体"/>
          <w:kern w:val="0"/>
          <w:sz w:val="32"/>
          <w:szCs w:val="32"/>
        </w:rPr>
        <w:t>。10月23日至30日，评估人员根据事先制发的《实地调研日程表》（附件3），先后前往21家</w:t>
      </w:r>
      <w:r>
        <w:rPr>
          <w:rFonts w:hint="eastAsia" w:ascii="仿宋" w:hAnsi="仿宋" w:eastAsia="仿宋" w:cs="宋体"/>
          <w:kern w:val="0"/>
          <w:sz w:val="32"/>
          <w:szCs w:val="32"/>
          <w:lang w:val="en-US" w:eastAsia="zh-CN"/>
        </w:rPr>
        <w:t>受评单位</w:t>
      </w:r>
      <w:r>
        <w:rPr>
          <w:rFonts w:hint="eastAsia" w:ascii="仿宋" w:hAnsi="仿宋" w:eastAsia="仿宋" w:cs="宋体"/>
          <w:kern w:val="0"/>
          <w:sz w:val="32"/>
          <w:szCs w:val="32"/>
        </w:rPr>
        <w:t>就公平竞争审查工作落实情况进行实地调研走访，广泛听取意见、建议，汇总收集相关资料、信息。同时评估工作组还通过查询评估对象门户网站、鄂州公共资源交易网（</w:t>
      </w:r>
      <w:r>
        <w:rPr>
          <w:rFonts w:ascii="仿宋" w:hAnsi="仿宋" w:eastAsia="仿宋" w:cs="宋体"/>
          <w:kern w:val="0"/>
          <w:sz w:val="32"/>
          <w:szCs w:val="32"/>
        </w:rPr>
        <w:t>http://www.ezggzy.cn</w:t>
      </w:r>
      <w:r>
        <w:rPr>
          <w:rFonts w:hint="eastAsia" w:ascii="仿宋" w:hAnsi="仿宋" w:eastAsia="仿宋" w:cs="宋体"/>
          <w:kern w:val="0"/>
          <w:sz w:val="32"/>
          <w:szCs w:val="32"/>
        </w:rPr>
        <w:t>）、鄂州市政府门户网站 （http://www.ezhou.gov.cn）、湖北省政府采购网（</w:t>
      </w:r>
      <w:r>
        <w:rPr>
          <w:rFonts w:ascii="仿宋" w:hAnsi="仿宋" w:eastAsia="仿宋" w:cs="宋体"/>
          <w:kern w:val="0"/>
          <w:sz w:val="32"/>
          <w:szCs w:val="32"/>
        </w:rPr>
        <w:t>http://www.ccgp-hubei.gov.cn</w:t>
      </w:r>
      <w:r>
        <w:rPr>
          <w:rFonts w:hint="eastAsia" w:ascii="仿宋" w:hAnsi="仿宋" w:eastAsia="仿宋" w:cs="宋体"/>
          <w:kern w:val="0"/>
          <w:sz w:val="32"/>
          <w:szCs w:val="32"/>
        </w:rPr>
        <w:t>）等网络平台检索</w:t>
      </w:r>
      <w:r>
        <w:rPr>
          <w:rFonts w:hint="eastAsia" w:ascii="仿宋" w:hAnsi="仿宋" w:eastAsia="仿宋" w:cs="宋体"/>
          <w:bCs/>
          <w:kern w:val="0"/>
          <w:sz w:val="32"/>
          <w:szCs w:val="32"/>
        </w:rPr>
        <w:t>、</w:t>
      </w:r>
      <w:r>
        <w:rPr>
          <w:rFonts w:hint="eastAsia" w:ascii="仿宋" w:hAnsi="仿宋" w:eastAsia="仿宋" w:cs="宋体"/>
          <w:kern w:val="0"/>
          <w:sz w:val="32"/>
          <w:szCs w:val="32"/>
        </w:rPr>
        <w:t>收集</w:t>
      </w:r>
      <w:r>
        <w:rPr>
          <w:rFonts w:hint="eastAsia" w:ascii="仿宋" w:hAnsi="仿宋" w:eastAsia="仿宋" w:cs="宋体"/>
          <w:kern w:val="0"/>
          <w:sz w:val="32"/>
          <w:szCs w:val="32"/>
          <w:lang w:val="en-US" w:eastAsia="zh-CN"/>
        </w:rPr>
        <w:t>涉及市场主体经济活动的</w:t>
      </w:r>
      <w:r>
        <w:rPr>
          <w:rFonts w:hint="eastAsia" w:ascii="仿宋" w:hAnsi="仿宋" w:eastAsia="仿宋" w:cs="宋体"/>
          <w:kern w:val="0"/>
          <w:sz w:val="32"/>
          <w:szCs w:val="32"/>
        </w:rPr>
        <w:t>政策措施类文件，获取第一手资料。</w:t>
      </w:r>
    </w:p>
    <w:p>
      <w:pPr>
        <w:ind w:firstLine="640"/>
        <w:rPr>
          <w:rFonts w:ascii="仿宋" w:hAnsi="仿宋" w:eastAsia="仿宋" w:cs="宋体"/>
          <w:kern w:val="0"/>
          <w:sz w:val="32"/>
          <w:szCs w:val="32"/>
        </w:rPr>
      </w:pPr>
      <w:r>
        <w:rPr>
          <w:rFonts w:hint="eastAsia" w:ascii="仿宋" w:hAnsi="仿宋" w:eastAsia="仿宋"/>
          <w:sz w:val="32"/>
          <w:szCs w:val="32"/>
        </w:rPr>
        <w:t>评估期间，</w:t>
      </w:r>
      <w:r>
        <w:rPr>
          <w:rFonts w:hint="eastAsia" w:ascii="仿宋" w:hAnsi="仿宋" w:eastAsia="仿宋"/>
          <w:sz w:val="32"/>
          <w:szCs w:val="32"/>
          <w:lang w:val="en-US" w:eastAsia="zh-CN"/>
        </w:rPr>
        <w:t>21家受评单位</w:t>
      </w:r>
      <w:r>
        <w:rPr>
          <w:rFonts w:hint="eastAsia" w:ascii="仿宋" w:hAnsi="仿宋" w:eastAsia="仿宋"/>
          <w:sz w:val="32"/>
          <w:szCs w:val="32"/>
        </w:rPr>
        <w:t>分别向评估工作组提供</w:t>
      </w:r>
      <w:r>
        <w:rPr>
          <w:rFonts w:hint="eastAsia" w:ascii="仿宋" w:hAnsi="仿宋" w:eastAsia="仿宋"/>
          <w:bCs/>
          <w:sz w:val="32"/>
          <w:szCs w:val="32"/>
        </w:rPr>
        <w:t>了</w:t>
      </w:r>
      <w:r>
        <w:rPr>
          <w:rFonts w:hint="eastAsia" w:ascii="仿宋" w:hAnsi="仿宋" w:eastAsia="仿宋"/>
          <w:sz w:val="32"/>
          <w:szCs w:val="32"/>
        </w:rPr>
        <w:t>公平竞争审查机制建立文件、公平竞争审查表格、2017-2020年出台的规章规范性文件和其他政策措施目录，填报了调研问卷（注：</w:t>
      </w:r>
      <w:r>
        <w:rPr>
          <w:rFonts w:hint="eastAsia" w:ascii="仿宋" w:hAnsi="仿宋" w:eastAsia="仿宋" w:cs="宋体"/>
          <w:kern w:val="0"/>
          <w:sz w:val="32"/>
          <w:szCs w:val="32"/>
        </w:rPr>
        <w:t>市商务局截止评估报告出具之日，未填报调研问卷</w:t>
      </w:r>
      <w:r>
        <w:rPr>
          <w:rFonts w:hint="eastAsia" w:ascii="仿宋" w:hAnsi="仿宋" w:eastAsia="仿宋"/>
          <w:sz w:val="32"/>
          <w:szCs w:val="32"/>
        </w:rPr>
        <w:t>）。按评估对象提供的文件目录和调研问卷统计，目录文件7507份，涉及市场主体经济活动的政策措施217份（附件四），评估机构自行通过评估对象门户网站、政府采购及公共资源交易网站等提取112份，评估对象通过自查自行</w:t>
      </w:r>
      <w:r>
        <w:rPr>
          <w:rFonts w:ascii="仿宋" w:hAnsi="仿宋" w:eastAsia="仿宋"/>
          <w:sz w:val="32"/>
          <w:szCs w:val="32"/>
        </w:rPr>
        <w:t>废止</w:t>
      </w:r>
      <w:r>
        <w:rPr>
          <w:rFonts w:hint="eastAsia" w:ascii="仿宋" w:hAnsi="仿宋" w:eastAsia="仿宋"/>
          <w:sz w:val="32"/>
          <w:szCs w:val="32"/>
        </w:rPr>
        <w:t>5份（市教育局3份、</w:t>
      </w:r>
      <w:r>
        <w:rPr>
          <w:rFonts w:hint="eastAsia" w:ascii="仿宋" w:hAnsi="仿宋" w:eastAsia="仿宋"/>
          <w:color w:val="auto"/>
          <w:sz w:val="32"/>
          <w:szCs w:val="32"/>
        </w:rPr>
        <w:t>市发改委2份）</w:t>
      </w:r>
      <w:r>
        <w:rPr>
          <w:rFonts w:ascii="仿宋" w:hAnsi="仿宋" w:eastAsia="仿宋"/>
          <w:color w:val="auto"/>
          <w:sz w:val="32"/>
          <w:szCs w:val="32"/>
        </w:rPr>
        <w:t>，修订</w:t>
      </w:r>
      <w:r>
        <w:rPr>
          <w:rFonts w:hint="eastAsia" w:ascii="仿宋" w:hAnsi="仿宋" w:eastAsia="仿宋"/>
          <w:color w:val="auto"/>
          <w:sz w:val="32"/>
          <w:szCs w:val="32"/>
        </w:rPr>
        <w:t>1份。</w:t>
      </w:r>
      <w:r>
        <w:rPr>
          <w:rFonts w:hint="eastAsia" w:ascii="仿宋" w:hAnsi="仿宋" w:eastAsia="仿宋"/>
          <w:sz w:val="32"/>
          <w:szCs w:val="32"/>
        </w:rPr>
        <w:t>评估机构在本次评估中发现市商务局等</w:t>
      </w:r>
      <w:r>
        <w:rPr>
          <w:rFonts w:hint="eastAsia" w:ascii="仿宋" w:hAnsi="仿宋" w:eastAsia="仿宋"/>
          <w:sz w:val="32"/>
          <w:szCs w:val="32"/>
          <w:lang w:val="en-US" w:eastAsia="zh-CN"/>
        </w:rPr>
        <w:t>单位</w:t>
      </w:r>
      <w:r>
        <w:rPr>
          <w:rFonts w:hint="eastAsia" w:ascii="仿宋" w:hAnsi="仿宋" w:eastAsia="仿宋"/>
          <w:sz w:val="32"/>
          <w:szCs w:val="32"/>
        </w:rPr>
        <w:t>制</w:t>
      </w:r>
      <w:r>
        <w:rPr>
          <w:rFonts w:hint="eastAsia" w:ascii="仿宋" w:hAnsi="仿宋" w:eastAsia="仿宋"/>
          <w:sz w:val="32"/>
          <w:szCs w:val="32"/>
          <w:lang w:val="en-US" w:eastAsia="zh-CN"/>
        </w:rPr>
        <w:t>定</w:t>
      </w:r>
      <w:r>
        <w:rPr>
          <w:rFonts w:hint="eastAsia" w:ascii="仿宋" w:hAnsi="仿宋" w:eastAsia="仿宋"/>
          <w:sz w:val="32"/>
          <w:szCs w:val="32"/>
        </w:rPr>
        <w:t>的15份政策措施</w:t>
      </w:r>
      <w:r>
        <w:rPr>
          <w:rFonts w:hint="eastAsia" w:ascii="仿宋" w:hAnsi="仿宋" w:eastAsia="仿宋" w:cs="宋体"/>
          <w:kern w:val="0"/>
          <w:sz w:val="32"/>
          <w:szCs w:val="32"/>
        </w:rPr>
        <w:t>（附件五）</w:t>
      </w:r>
      <w:r>
        <w:rPr>
          <w:rFonts w:hint="eastAsia" w:ascii="仿宋" w:hAnsi="仿宋" w:eastAsia="仿宋"/>
          <w:sz w:val="32"/>
          <w:szCs w:val="32"/>
        </w:rPr>
        <w:t>涉嫌违反公平竞争审查</w:t>
      </w:r>
      <w:r>
        <w:rPr>
          <w:rFonts w:hint="eastAsia" w:ascii="仿宋" w:hAnsi="仿宋" w:eastAsia="仿宋" w:cs="宋体"/>
          <w:kern w:val="0"/>
          <w:sz w:val="32"/>
          <w:szCs w:val="32"/>
        </w:rPr>
        <w:t>标准，建议修订。</w:t>
      </w:r>
    </w:p>
    <w:p>
      <w:pPr>
        <w:ind w:firstLine="643"/>
        <w:rPr>
          <w:rFonts w:hint="eastAsia" w:ascii="华文楷体" w:hAnsi="华文楷体" w:eastAsia="华文楷体" w:cs="华文楷体"/>
          <w:b/>
          <w:kern w:val="0"/>
          <w:sz w:val="32"/>
          <w:szCs w:val="32"/>
        </w:rPr>
      </w:pPr>
      <w:r>
        <w:rPr>
          <w:rFonts w:hint="eastAsia" w:ascii="华文楷体" w:hAnsi="华文楷体" w:eastAsia="华文楷体" w:cs="华文楷体"/>
          <w:b/>
          <w:kern w:val="0"/>
          <w:sz w:val="32"/>
          <w:szCs w:val="32"/>
        </w:rPr>
        <w:t>（二）公平竞争审查机制建立及实施情况</w:t>
      </w:r>
    </w:p>
    <w:p>
      <w:pPr>
        <w:ind w:firstLine="640"/>
        <w:rPr>
          <w:rFonts w:ascii="仿宋" w:hAnsi="仿宋" w:eastAsia="仿宋" w:cs="宋体"/>
          <w:kern w:val="0"/>
          <w:sz w:val="32"/>
          <w:szCs w:val="32"/>
        </w:rPr>
      </w:pPr>
      <w:r>
        <w:rPr>
          <w:rFonts w:hint="eastAsia" w:ascii="仿宋" w:hAnsi="仿宋" w:eastAsia="仿宋" w:cs="宋体"/>
          <w:kern w:val="0"/>
          <w:sz w:val="32"/>
          <w:szCs w:val="32"/>
        </w:rPr>
        <w:t>1.审查机制建立</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21家评估对象</w:t>
      </w:r>
      <w:r>
        <w:rPr>
          <w:rFonts w:hint="eastAsia" w:ascii="仿宋" w:hAnsi="仿宋" w:eastAsia="仿宋" w:cs="宋体"/>
          <w:color w:val="auto"/>
          <w:kern w:val="0"/>
          <w:sz w:val="32"/>
          <w:szCs w:val="32"/>
        </w:rPr>
        <w:t>基本</w:t>
      </w:r>
      <w:r>
        <w:rPr>
          <w:rFonts w:hint="eastAsia" w:ascii="仿宋" w:hAnsi="仿宋" w:eastAsia="仿宋" w:cs="宋体"/>
          <w:kern w:val="0"/>
          <w:sz w:val="32"/>
          <w:szCs w:val="32"/>
        </w:rPr>
        <w:t>建立了公平竞争</w:t>
      </w:r>
      <w:r>
        <w:rPr>
          <w:rFonts w:hint="eastAsia" w:ascii="仿宋" w:hAnsi="仿宋" w:eastAsia="仿宋" w:cs="宋体"/>
          <w:color w:val="auto"/>
          <w:kern w:val="0"/>
          <w:sz w:val="32"/>
          <w:szCs w:val="32"/>
          <w:lang w:val="en-US" w:eastAsia="zh-CN"/>
        </w:rPr>
        <w:t>自我</w:t>
      </w:r>
      <w:r>
        <w:rPr>
          <w:rFonts w:hint="eastAsia" w:ascii="仿宋" w:hAnsi="仿宋" w:eastAsia="仿宋" w:cs="宋体"/>
          <w:kern w:val="0"/>
          <w:sz w:val="32"/>
          <w:szCs w:val="32"/>
        </w:rPr>
        <w:t>审查工作机制，制定了审查流程，落实了审查机构和审查人员。</w:t>
      </w:r>
    </w:p>
    <w:p>
      <w:pPr>
        <w:widowControl/>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市市场监督管理局、市文化和旅游局等6家评估对象在2019年即建立审查机制。但一半以上评估对象的审查机制是在2020年建立，</w:t>
      </w:r>
      <w:r>
        <w:rPr>
          <w:rFonts w:hint="eastAsia" w:ascii="仿宋" w:hAnsi="仿宋" w:eastAsia="仿宋" w:cs="宋体"/>
          <w:color w:val="auto"/>
          <w:kern w:val="0"/>
          <w:sz w:val="32"/>
          <w:szCs w:val="32"/>
          <w:lang w:val="en-US" w:eastAsia="zh-CN"/>
        </w:rPr>
        <w:t>部门</w:t>
      </w:r>
      <w:r>
        <w:rPr>
          <w:rFonts w:hint="eastAsia" w:ascii="仿宋" w:hAnsi="仿宋" w:eastAsia="仿宋" w:cs="宋体"/>
          <w:color w:val="auto"/>
          <w:kern w:val="0"/>
          <w:sz w:val="32"/>
          <w:szCs w:val="32"/>
        </w:rPr>
        <w:t>审查机制建立时间与国务院、省政府要求在2017年起在省级行政区域内逐步推进公平竞争审查制度的建立相比较，明显滞后。</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市税务局、市交通运输局等评估对象审查流程科学规范，操作性强。评估对象将公平竞争审查纳入办文环节，成为文件办理的必经程序，从源头上增强了拟文科室的审查意识，拟文科室按照“谁起草、谁审查”的原则形成初审意见，再由政策法规科统一复核，形成审查结论。</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①在审查机构设置方面</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市发改委、市经信局、市财政局、市自然资源和规划局、市生态环境局、市住建局、市交通运输局、市农业农村局、市文化和旅游局、市司法局、市市场监督局等单位审查机构为政策措施拟稿科室和政策法规科；市教育局、市民政局、人民银行鄂州市中心支行、鄂州银保监分局审查机构等单位为政策措施拟稿科室和办公室；市水利和湖泊局审查机构为规划与建设监督科；市卫健委审查机构为综合监督与职业健康科。</w:t>
      </w:r>
    </w:p>
    <w:p>
      <w:pPr>
        <w:widowControl/>
        <w:shd w:val="clear" w:color="auto" w:fill="FFFFFF"/>
        <w:ind w:firstLine="720" w:firstLineChars="225"/>
        <w:rPr>
          <w:rFonts w:ascii="仿宋" w:hAnsi="仿宋" w:eastAsia="仿宋" w:cs="宋体"/>
          <w:bCs/>
          <w:kern w:val="0"/>
          <w:sz w:val="32"/>
          <w:szCs w:val="32"/>
        </w:rPr>
      </w:pPr>
      <w:r>
        <w:rPr>
          <w:rFonts w:hint="eastAsia" w:ascii="仿宋" w:hAnsi="仿宋" w:eastAsia="仿宋" w:cs="宋体"/>
          <w:kern w:val="0"/>
          <w:sz w:val="32"/>
          <w:szCs w:val="32"/>
        </w:rPr>
        <w:t>②在</w:t>
      </w:r>
      <w:r>
        <w:rPr>
          <w:rFonts w:hint="eastAsia" w:ascii="仿宋" w:hAnsi="仿宋" w:eastAsia="仿宋" w:cs="宋体"/>
          <w:bCs/>
          <w:kern w:val="0"/>
          <w:sz w:val="32"/>
          <w:szCs w:val="32"/>
        </w:rPr>
        <w:t>审查人员配备方面</w:t>
      </w:r>
    </w:p>
    <w:p>
      <w:pPr>
        <w:widowControl/>
        <w:shd w:val="clear" w:color="auto" w:fill="FFFFFF"/>
        <w:ind w:firstLine="672" w:firstLineChars="210"/>
        <w:rPr>
          <w:rFonts w:ascii="仿宋" w:hAnsi="仿宋" w:eastAsia="仿宋" w:cs="宋体"/>
          <w:b/>
          <w:bCs/>
          <w:kern w:val="0"/>
          <w:sz w:val="32"/>
          <w:szCs w:val="32"/>
        </w:rPr>
      </w:pPr>
      <w:r>
        <w:rPr>
          <w:rFonts w:hint="eastAsia" w:ascii="仿宋" w:hAnsi="仿宋" w:eastAsia="仿宋" w:cs="宋体"/>
          <w:kern w:val="0"/>
          <w:sz w:val="32"/>
          <w:szCs w:val="32"/>
        </w:rPr>
        <w:t>人民银行鄂州市中心支行审查人员配备较强，在办公室内设置法律事务部，有专职法务专员负责审查工作，审查人员具有法学硕士研究生教育背景并已取得法律职业资格证书。</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评估机构发现有部分评估对象积极引入外部力量参与审查工作，其中有外聘（公职）律师参与审查的有市卫健委、市国资委、市税务局、鄂州银保监分局。</w:t>
      </w:r>
    </w:p>
    <w:p>
      <w:pPr>
        <w:widowControl/>
        <w:ind w:firstLine="640"/>
        <w:jc w:val="left"/>
        <w:rPr>
          <w:rFonts w:ascii="仿宋" w:hAnsi="仿宋" w:eastAsia="仿宋" w:cs="宋体"/>
          <w:kern w:val="0"/>
          <w:sz w:val="32"/>
          <w:szCs w:val="32"/>
        </w:rPr>
      </w:pPr>
      <w:r>
        <w:rPr>
          <w:rFonts w:hint="eastAsia" w:ascii="仿宋" w:hAnsi="仿宋" w:eastAsia="仿宋" w:cs="宋体"/>
          <w:bCs/>
          <w:kern w:val="0"/>
          <w:sz w:val="32"/>
          <w:szCs w:val="32"/>
        </w:rPr>
        <w:t>但大部分单位审查人员配备不尽合理，</w:t>
      </w:r>
      <w:r>
        <w:rPr>
          <w:rFonts w:hint="eastAsia" w:ascii="仿宋" w:hAnsi="仿宋" w:eastAsia="仿宋" w:cs="宋体"/>
          <w:kern w:val="0"/>
          <w:sz w:val="32"/>
          <w:szCs w:val="32"/>
        </w:rPr>
        <w:t>与审查岗位的职责匹配性较弱。</w:t>
      </w:r>
      <w:r>
        <w:rPr>
          <w:rFonts w:hint="eastAsia" w:ascii="仿宋" w:hAnsi="仿宋" w:eastAsia="仿宋" w:cs="宋体"/>
          <w:bCs/>
          <w:kern w:val="0"/>
          <w:sz w:val="32"/>
          <w:szCs w:val="32"/>
        </w:rPr>
        <w:t>多为兼职从事审查工作，相当部分审查人员不具有法学教育背景或法律工作经历，如市经信局、市教育局、市民政局、市财政局、市住建局、市水利和湖泊局负责公平竞争审查的人员。</w:t>
      </w:r>
      <w:r>
        <w:rPr>
          <w:rFonts w:hint="eastAsia" w:ascii="仿宋" w:hAnsi="仿宋" w:eastAsia="仿宋" w:cs="宋体"/>
          <w:kern w:val="0"/>
          <w:sz w:val="32"/>
          <w:szCs w:val="32"/>
        </w:rPr>
        <w:t>市卫健委原招录有3名法律专业工作人员，但负责公平竞争审查的科室却无一人具有</w:t>
      </w:r>
      <w:r>
        <w:rPr>
          <w:rFonts w:hint="eastAsia" w:ascii="仿宋" w:hAnsi="仿宋" w:eastAsia="仿宋" w:cs="宋体"/>
          <w:bCs/>
          <w:kern w:val="0"/>
          <w:sz w:val="32"/>
          <w:szCs w:val="32"/>
        </w:rPr>
        <w:t>法学教育背景或法律工作经历</w:t>
      </w:r>
      <w:r>
        <w:rPr>
          <w:rFonts w:hint="eastAsia" w:ascii="仿宋" w:hAnsi="仿宋" w:eastAsia="仿宋" w:cs="宋体"/>
          <w:kern w:val="0"/>
          <w:sz w:val="32"/>
          <w:szCs w:val="32"/>
        </w:rPr>
        <w:t>。</w:t>
      </w:r>
    </w:p>
    <w:p>
      <w:pPr>
        <w:widowControl/>
        <w:shd w:val="clear" w:color="auto" w:fill="FFFFFF"/>
        <w:ind w:firstLine="720" w:firstLineChars="225"/>
        <w:rPr>
          <w:rFonts w:ascii="仿宋" w:hAnsi="仿宋" w:eastAsia="仿宋" w:cs="宋体"/>
          <w:kern w:val="0"/>
          <w:sz w:val="32"/>
          <w:szCs w:val="32"/>
        </w:rPr>
      </w:pPr>
      <w:r>
        <w:rPr>
          <w:rFonts w:hint="eastAsia" w:ascii="仿宋" w:hAnsi="仿宋" w:eastAsia="仿宋" w:cs="宋体"/>
          <w:kern w:val="0"/>
          <w:sz w:val="32"/>
          <w:szCs w:val="32"/>
        </w:rPr>
        <w:t>2.审查机制落实情况</w:t>
      </w:r>
    </w:p>
    <w:p>
      <w:pPr>
        <w:widowControl/>
        <w:shd w:val="clear" w:color="auto" w:fill="FFFFFF"/>
        <w:ind w:firstLine="720" w:firstLineChars="225"/>
        <w:rPr>
          <w:rFonts w:ascii="仿宋" w:hAnsi="仿宋" w:eastAsia="仿宋" w:cs="宋体"/>
          <w:kern w:val="0"/>
          <w:sz w:val="32"/>
          <w:szCs w:val="32"/>
        </w:rPr>
      </w:pPr>
      <w:r>
        <w:rPr>
          <w:rFonts w:hint="eastAsia" w:ascii="仿宋" w:hAnsi="仿宋" w:eastAsia="仿宋" w:cs="宋体"/>
          <w:kern w:val="0"/>
          <w:sz w:val="32"/>
          <w:szCs w:val="32"/>
        </w:rPr>
        <w:t>评估过程中，仅有部分单位提供了《公平竞争审查表》等书面审查文件，大部分单位没有提供。人民银行鄂州市中心支行、市生态环境局审查表格内容填报详实、审查程序规范、结论准确。也有少数评估对象为应付评估工作，临时填写《公平竞争审查表》。甚至出现2017年、2018年审查表所盖公章为2019年机构改革后新成立机构名称的现象。</w:t>
      </w:r>
    </w:p>
    <w:p>
      <w:pPr>
        <w:widowControl/>
        <w:shd w:val="clear" w:color="auto" w:fill="FFFFFF"/>
        <w:ind w:firstLine="720" w:firstLineChars="225"/>
        <w:rPr>
          <w:rFonts w:ascii="仿宋" w:hAnsi="仿宋" w:eastAsia="仿宋" w:cs="宋体"/>
          <w:kern w:val="0"/>
          <w:sz w:val="32"/>
          <w:szCs w:val="32"/>
        </w:rPr>
      </w:pPr>
      <w:r>
        <w:rPr>
          <w:rFonts w:hint="eastAsia" w:ascii="仿宋" w:hAnsi="仿宋" w:eastAsia="仿宋" w:cs="宋体"/>
          <w:kern w:val="0"/>
          <w:sz w:val="32"/>
          <w:szCs w:val="32"/>
        </w:rPr>
        <w:t>评估工作组发现，评估对象对涉及市场主体经济活动的政策措施没有做到公平竞争审查全覆盖，且大部分评估对象混淆了公平竞争审查与合法性审查的概念，以合法性审查代替公平竞争审查。</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3.督导宣传情况</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督查指导与宣传培训是公平竞争审查工作部署落实中的一项短板。除市市场监督管理局组织召开联席会议部署相关公平竞争审查工作外，评估对象基本未开展关于公平竞争审查宣传培训活动。从评估资料分析，评估对象对内设机构和二级单位进行督查指导力度明显不足，多数是以转发文件形式进行督导。</w:t>
      </w:r>
    </w:p>
    <w:p>
      <w:pPr>
        <w:widowControl/>
        <w:ind w:firstLine="643"/>
        <w:jc w:val="left"/>
        <w:rPr>
          <w:rFonts w:hint="eastAsia" w:ascii="华文楷体" w:hAnsi="华文楷体" w:eastAsia="华文楷体" w:cs="华文楷体"/>
          <w:b/>
          <w:kern w:val="0"/>
          <w:sz w:val="32"/>
          <w:szCs w:val="32"/>
        </w:rPr>
      </w:pPr>
      <w:r>
        <w:rPr>
          <w:rFonts w:hint="eastAsia" w:ascii="华文楷体" w:hAnsi="华文楷体" w:eastAsia="华文楷体" w:cs="华文楷体"/>
          <w:b/>
          <w:kern w:val="0"/>
          <w:sz w:val="32"/>
          <w:szCs w:val="32"/>
        </w:rPr>
        <w:t>（三）存量政策措施清理、增量政策措施审查情况</w:t>
      </w:r>
    </w:p>
    <w:p>
      <w:pPr>
        <w:widowControl/>
        <w:ind w:firstLine="640"/>
        <w:jc w:val="left"/>
        <w:rPr>
          <w:rFonts w:ascii="仿宋" w:hAnsi="仿宋" w:eastAsia="仿宋" w:cs="宋体"/>
          <w:color w:val="auto"/>
          <w:kern w:val="0"/>
          <w:sz w:val="32"/>
          <w:szCs w:val="32"/>
        </w:rPr>
      </w:pPr>
      <w:r>
        <w:rPr>
          <w:rFonts w:hint="eastAsia" w:ascii="仿宋" w:hAnsi="仿宋" w:eastAsia="仿宋" w:cs="宋体"/>
          <w:kern w:val="0"/>
          <w:sz w:val="32"/>
          <w:szCs w:val="32"/>
        </w:rPr>
        <w:t>已提交存量政策</w:t>
      </w:r>
      <w:r>
        <w:rPr>
          <w:rFonts w:hint="eastAsia" w:ascii="仿宋" w:hAnsi="仿宋" w:eastAsia="仿宋" w:cs="宋体"/>
          <w:kern w:val="0"/>
          <w:sz w:val="32"/>
          <w:szCs w:val="32"/>
          <w:lang w:val="en-US" w:eastAsia="zh-CN"/>
        </w:rPr>
        <w:t>措施</w:t>
      </w:r>
      <w:r>
        <w:rPr>
          <w:rFonts w:hint="eastAsia" w:ascii="仿宋" w:hAnsi="仿宋" w:eastAsia="仿宋" w:cs="宋体"/>
          <w:kern w:val="0"/>
          <w:sz w:val="32"/>
          <w:szCs w:val="32"/>
        </w:rPr>
        <w:t>清理的评估对象有：市教育局、人民银行鄂州市中心支行等9家单位，其他单位尚未提交清理资料。市教育局</w:t>
      </w:r>
      <w:r>
        <w:rPr>
          <w:rFonts w:hint="eastAsia" w:ascii="仿宋" w:hAnsi="仿宋" w:eastAsia="仿宋" w:cs="宋体"/>
          <w:kern w:val="0"/>
          <w:sz w:val="32"/>
          <w:szCs w:val="32"/>
          <w:lang w:val="en-US" w:eastAsia="zh-CN"/>
        </w:rPr>
        <w:t>通过清理</w:t>
      </w:r>
      <w:r>
        <w:rPr>
          <w:rFonts w:hint="eastAsia" w:ascii="仿宋" w:hAnsi="仿宋" w:eastAsia="仿宋" w:cs="宋体"/>
          <w:kern w:val="0"/>
          <w:sz w:val="32"/>
          <w:szCs w:val="32"/>
        </w:rPr>
        <w:t>已将《鄂州市主城区民办学校审批实施办法（试行）》、《鄂州市主城区民办学校年检实施办法（试行）》、《关于对中小学食堂物资实施连锁配送的通知》</w:t>
      </w:r>
      <w:r>
        <w:rPr>
          <w:rFonts w:hint="eastAsia" w:ascii="仿宋" w:hAnsi="仿宋" w:eastAsia="仿宋" w:cs="宋体"/>
          <w:color w:val="FF0000"/>
          <w:kern w:val="0"/>
          <w:sz w:val="32"/>
          <w:szCs w:val="32"/>
          <w:lang w:val="en-US" w:eastAsia="zh-CN"/>
        </w:rPr>
        <w:t>等三份违反公平竞争审查制度标准的文件予以</w:t>
      </w:r>
      <w:r>
        <w:rPr>
          <w:rFonts w:hint="eastAsia" w:ascii="仿宋" w:hAnsi="仿宋" w:eastAsia="仿宋" w:cs="宋体"/>
          <w:color w:val="FF0000"/>
          <w:kern w:val="0"/>
          <w:sz w:val="32"/>
          <w:szCs w:val="32"/>
        </w:rPr>
        <w:t>废止并</w:t>
      </w:r>
      <w:r>
        <w:rPr>
          <w:rFonts w:hint="eastAsia" w:ascii="仿宋" w:hAnsi="仿宋" w:eastAsia="仿宋" w:cs="宋体"/>
          <w:color w:val="FF0000"/>
          <w:kern w:val="0"/>
          <w:sz w:val="32"/>
          <w:szCs w:val="32"/>
          <w:lang w:val="en-US" w:eastAsia="zh-CN"/>
        </w:rPr>
        <w:t>进行</w:t>
      </w:r>
      <w:r>
        <w:rPr>
          <w:rFonts w:hint="eastAsia" w:ascii="仿宋" w:hAnsi="仿宋" w:eastAsia="仿宋" w:cs="宋体"/>
          <w:color w:val="FF0000"/>
          <w:kern w:val="0"/>
          <w:sz w:val="32"/>
          <w:szCs w:val="32"/>
        </w:rPr>
        <w:t>公告。</w:t>
      </w:r>
      <w:r>
        <w:rPr>
          <w:rFonts w:hint="eastAsia" w:ascii="仿宋" w:hAnsi="仿宋" w:eastAsia="仿宋" w:cs="宋体"/>
          <w:kern w:val="0"/>
          <w:sz w:val="32"/>
          <w:szCs w:val="32"/>
        </w:rPr>
        <w:t>市发改委将代市政府起草《市人民政府办公室关于印发鄂州市光伏扶贫工程实施方案的通知》（该通知过期失效）和《关于印发鄂州市企业投资准入特别管理措施（负面清单</w:t>
      </w:r>
      <w:r>
        <w:rPr>
          <w:rFonts w:hint="eastAsia" w:ascii="MS Mincho" w:hAnsi="MS Mincho" w:eastAsia="MS Mincho" w:cs="MS Mincho"/>
          <w:kern w:val="0"/>
          <w:sz w:val="32"/>
          <w:szCs w:val="32"/>
        </w:rPr>
        <w:t>▪</w:t>
      </w:r>
      <w:r>
        <w:rPr>
          <w:rFonts w:hint="eastAsia" w:ascii="仿宋" w:hAnsi="仿宋" w:eastAsia="仿宋" w:cs="宋体"/>
          <w:kern w:val="0"/>
          <w:sz w:val="32"/>
          <w:szCs w:val="32"/>
        </w:rPr>
        <w:t>2016年）的通知》（国家发改委发布国家统一市场准入负面清单）废止，</w:t>
      </w:r>
      <w:r>
        <w:rPr>
          <w:rFonts w:hint="eastAsia" w:ascii="仿宋" w:hAnsi="仿宋" w:eastAsia="仿宋" w:cs="宋体"/>
          <w:color w:val="auto"/>
          <w:kern w:val="0"/>
          <w:sz w:val="32"/>
          <w:szCs w:val="32"/>
        </w:rPr>
        <w:t>建议修改《市人民政府关于促进服务业发展若干政策措施的意见》，但评估工作组未查询到修订后的文件</w:t>
      </w:r>
      <w:r>
        <w:rPr>
          <w:rFonts w:hint="eastAsia" w:ascii="仿宋" w:hAnsi="仿宋" w:eastAsia="仿宋" w:cs="宋体"/>
          <w:color w:val="auto"/>
          <w:kern w:val="0"/>
          <w:sz w:val="32"/>
          <w:szCs w:val="32"/>
          <w:lang w:val="en-US" w:eastAsia="zh-CN"/>
        </w:rPr>
        <w:t>和公示信息</w:t>
      </w:r>
      <w:r>
        <w:rPr>
          <w:rFonts w:hint="eastAsia" w:ascii="仿宋" w:hAnsi="仿宋" w:eastAsia="仿宋" w:cs="宋体"/>
          <w:color w:val="auto"/>
          <w:kern w:val="0"/>
          <w:sz w:val="32"/>
          <w:szCs w:val="32"/>
        </w:rPr>
        <w:t>。</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从提交清理资料来看，部分评估对象将</w:t>
      </w:r>
      <w:r>
        <w:rPr>
          <w:rFonts w:hint="eastAsia" w:ascii="仿宋" w:hAnsi="仿宋" w:eastAsia="仿宋" w:cs="宋体"/>
          <w:color w:val="auto"/>
          <w:kern w:val="0"/>
          <w:sz w:val="32"/>
          <w:szCs w:val="32"/>
          <w:lang w:val="en-US" w:eastAsia="zh-CN"/>
        </w:rPr>
        <w:t>公平竞争审查</w:t>
      </w:r>
      <w:r>
        <w:rPr>
          <w:rFonts w:hint="eastAsia" w:ascii="仿宋" w:hAnsi="仿宋" w:eastAsia="仿宋" w:cs="宋体"/>
          <w:kern w:val="0"/>
          <w:sz w:val="32"/>
          <w:szCs w:val="32"/>
        </w:rPr>
        <w:t>存量政策措施清理废止与政府规范性文件清理废止工作进行混同，清理目录中的文件存在部分不涉及市场主体经济活动的情形。</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部分存在机构职能调整的</w:t>
      </w:r>
      <w:r>
        <w:rPr>
          <w:rFonts w:hint="eastAsia" w:ascii="仿宋" w:hAnsi="仿宋" w:eastAsia="仿宋" w:cs="宋体"/>
          <w:kern w:val="0"/>
          <w:sz w:val="32"/>
          <w:szCs w:val="32"/>
          <w:lang w:val="en-US" w:eastAsia="zh-CN"/>
        </w:rPr>
        <w:t>受评单位</w:t>
      </w:r>
      <w:r>
        <w:rPr>
          <w:rFonts w:hint="eastAsia" w:ascii="仿宋" w:hAnsi="仿宋" w:eastAsia="仿宋" w:cs="宋体"/>
          <w:kern w:val="0"/>
          <w:sz w:val="32"/>
          <w:szCs w:val="32"/>
        </w:rPr>
        <w:t>对</w:t>
      </w:r>
      <w:r>
        <w:rPr>
          <w:rFonts w:hint="eastAsia" w:ascii="仿宋" w:hAnsi="仿宋" w:eastAsia="仿宋" w:cs="宋体"/>
          <w:color w:val="auto"/>
          <w:kern w:val="0"/>
          <w:sz w:val="32"/>
          <w:szCs w:val="32"/>
          <w:lang w:val="en-US" w:eastAsia="zh-CN"/>
        </w:rPr>
        <w:t>合并、调入职能</w:t>
      </w:r>
      <w:r>
        <w:rPr>
          <w:rFonts w:hint="eastAsia" w:ascii="仿宋" w:hAnsi="仿宋" w:eastAsia="仿宋" w:cs="宋体"/>
          <w:kern w:val="0"/>
          <w:sz w:val="32"/>
          <w:szCs w:val="32"/>
        </w:rPr>
        <w:t>机构</w:t>
      </w:r>
      <w:r>
        <w:rPr>
          <w:rFonts w:hint="eastAsia" w:ascii="仿宋" w:hAnsi="仿宋" w:eastAsia="仿宋" w:cs="宋体"/>
          <w:kern w:val="0"/>
          <w:sz w:val="32"/>
          <w:szCs w:val="32"/>
          <w:lang w:val="en-US" w:eastAsia="zh-CN"/>
        </w:rPr>
        <w:t>的</w:t>
      </w:r>
      <w:r>
        <w:rPr>
          <w:rFonts w:hint="eastAsia" w:ascii="仿宋" w:hAnsi="仿宋" w:eastAsia="仿宋" w:cs="宋体"/>
          <w:kern w:val="0"/>
          <w:sz w:val="32"/>
          <w:szCs w:val="32"/>
        </w:rPr>
        <w:t>政策措施没有涵盖，如市自然资源和规划局没有提供原林业局2017-2019年政策措施，市市场监督管理局未提供原市质量技术监督局2017-2019年政策措施。</w:t>
      </w:r>
    </w:p>
    <w:p>
      <w:pPr>
        <w:widowControl/>
        <w:ind w:firstLine="640"/>
        <w:jc w:val="left"/>
        <w:rPr>
          <w:rFonts w:hint="eastAsia" w:ascii="华文楷体" w:hAnsi="华文楷体" w:eastAsia="华文楷体" w:cs="华文楷体"/>
          <w:b/>
          <w:kern w:val="0"/>
          <w:sz w:val="32"/>
          <w:szCs w:val="32"/>
        </w:rPr>
      </w:pPr>
      <w:r>
        <w:rPr>
          <w:rFonts w:hint="eastAsia" w:ascii="华文楷体" w:hAnsi="华文楷体" w:eastAsia="华文楷体" w:cs="华文楷体"/>
          <w:kern w:val="0"/>
          <w:sz w:val="32"/>
          <w:szCs w:val="32"/>
        </w:rPr>
        <w:t>（</w:t>
      </w:r>
      <w:r>
        <w:rPr>
          <w:rFonts w:hint="eastAsia" w:ascii="华文楷体" w:hAnsi="华文楷体" w:eastAsia="华文楷体" w:cs="华文楷体"/>
          <w:b/>
          <w:kern w:val="0"/>
          <w:sz w:val="32"/>
          <w:szCs w:val="32"/>
        </w:rPr>
        <w:t>四）利害关系人、社会公众以及新闻媒体对制度实施情况的相关评价和意见建议</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在招投标及政府采购领域，存在利害关系人提出异议与质疑情形，</w:t>
      </w:r>
      <w:r>
        <w:rPr>
          <w:rFonts w:hint="eastAsia" w:ascii="仿宋" w:hAnsi="仿宋" w:eastAsia="仿宋" w:cs="宋体"/>
          <w:kern w:val="0"/>
          <w:sz w:val="32"/>
          <w:szCs w:val="32"/>
          <w:lang w:val="en-US" w:eastAsia="zh-CN"/>
        </w:rPr>
        <w:t>受评单位</w:t>
      </w:r>
      <w:r>
        <w:rPr>
          <w:rFonts w:hint="eastAsia" w:ascii="仿宋" w:hAnsi="仿宋" w:eastAsia="仿宋" w:cs="宋体"/>
          <w:kern w:val="0"/>
          <w:sz w:val="32"/>
          <w:szCs w:val="32"/>
        </w:rPr>
        <w:t>及时予以回应。</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除</w:t>
      </w:r>
      <w:r>
        <w:rPr>
          <w:rFonts w:hint="eastAsia" w:ascii="仿宋" w:hAnsi="仿宋" w:eastAsia="仿宋" w:cs="宋体"/>
          <w:kern w:val="0"/>
          <w:sz w:val="32"/>
          <w:szCs w:val="32"/>
          <w:lang w:val="en-US" w:eastAsia="zh-CN"/>
        </w:rPr>
        <w:t>政策制定机关</w:t>
      </w:r>
      <w:r>
        <w:rPr>
          <w:rFonts w:hint="eastAsia" w:ascii="仿宋" w:hAnsi="仿宋" w:eastAsia="仿宋" w:cs="宋体"/>
          <w:kern w:val="0"/>
          <w:sz w:val="32"/>
          <w:szCs w:val="32"/>
        </w:rPr>
        <w:t>代市政府起草规范性文件通过市政府和市司法局门户网站向社会公众征求意见情形外，社会公众没有参与其他类型政策措施的起草制定工作。</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受评单位</w:t>
      </w:r>
      <w:r>
        <w:rPr>
          <w:rFonts w:hint="eastAsia" w:ascii="仿宋" w:hAnsi="仿宋" w:eastAsia="仿宋" w:cs="宋体"/>
          <w:kern w:val="0"/>
          <w:sz w:val="32"/>
          <w:szCs w:val="32"/>
        </w:rPr>
        <w:t>通过新闻媒体发声不够，除市市场监督管理局有</w:t>
      </w:r>
      <w:r>
        <w:rPr>
          <w:rFonts w:hint="eastAsia" w:ascii="仿宋" w:hAnsi="仿宋" w:eastAsia="仿宋" w:cs="宋体"/>
          <w:color w:val="auto"/>
          <w:kern w:val="0"/>
          <w:sz w:val="32"/>
          <w:szCs w:val="32"/>
          <w:lang w:val="en-US" w:eastAsia="zh-CN"/>
        </w:rPr>
        <w:t>相关</w:t>
      </w:r>
      <w:r>
        <w:rPr>
          <w:rFonts w:hint="eastAsia" w:ascii="仿宋" w:hAnsi="仿宋" w:eastAsia="仿宋" w:cs="宋体"/>
          <w:color w:val="auto"/>
          <w:kern w:val="0"/>
          <w:sz w:val="32"/>
          <w:szCs w:val="32"/>
        </w:rPr>
        <w:t>新闻报道</w:t>
      </w:r>
      <w:r>
        <w:rPr>
          <w:rFonts w:hint="eastAsia" w:ascii="仿宋" w:hAnsi="仿宋" w:eastAsia="仿宋" w:cs="宋体"/>
          <w:color w:val="auto"/>
          <w:kern w:val="0"/>
          <w:sz w:val="32"/>
          <w:szCs w:val="32"/>
          <w:lang w:val="en-US" w:eastAsia="zh-CN"/>
        </w:rPr>
        <w:t>和发布社会公告</w:t>
      </w:r>
      <w:r>
        <w:rPr>
          <w:rFonts w:hint="eastAsia" w:ascii="仿宋" w:hAnsi="仿宋" w:eastAsia="仿宋" w:cs="宋体"/>
          <w:color w:val="auto"/>
          <w:kern w:val="0"/>
          <w:sz w:val="32"/>
          <w:szCs w:val="32"/>
        </w:rPr>
        <w:t>外，</w:t>
      </w:r>
      <w:r>
        <w:rPr>
          <w:rFonts w:hint="eastAsia" w:ascii="仿宋" w:hAnsi="仿宋" w:eastAsia="仿宋" w:cs="宋体"/>
          <w:kern w:val="0"/>
          <w:sz w:val="32"/>
          <w:szCs w:val="32"/>
        </w:rPr>
        <w:t>其他评估对象多数是通过门户网站对公平竞争审查制度进行宣传，受众面较狭窄。</w:t>
      </w:r>
    </w:p>
    <w:p>
      <w:pPr>
        <w:widowControl/>
        <w:ind w:firstLine="643"/>
        <w:jc w:val="left"/>
        <w:rPr>
          <w:rFonts w:hint="eastAsia" w:ascii="华文楷体" w:hAnsi="华文楷体" w:eastAsia="华文楷体" w:cs="华文楷体"/>
          <w:b/>
          <w:kern w:val="0"/>
          <w:sz w:val="32"/>
          <w:szCs w:val="32"/>
        </w:rPr>
      </w:pPr>
      <w:r>
        <w:rPr>
          <w:rFonts w:hint="eastAsia" w:ascii="华文楷体" w:hAnsi="华文楷体" w:eastAsia="华文楷体" w:cs="华文楷体"/>
          <w:b/>
          <w:kern w:val="0"/>
          <w:sz w:val="32"/>
          <w:szCs w:val="32"/>
        </w:rPr>
        <w:t>（五）制度实施中存在的问题</w:t>
      </w:r>
    </w:p>
    <w:p>
      <w:pPr>
        <w:widowControl/>
        <w:ind w:firstLine="643"/>
        <w:jc w:val="left"/>
        <w:rPr>
          <w:rFonts w:ascii="仿宋" w:hAnsi="仿宋" w:eastAsia="仿宋" w:cs="宋体"/>
          <w:kern w:val="0"/>
          <w:sz w:val="32"/>
          <w:szCs w:val="32"/>
        </w:rPr>
      </w:pPr>
      <w:r>
        <w:rPr>
          <w:rFonts w:hint="eastAsia" w:ascii="仿宋" w:hAnsi="仿宋" w:eastAsia="仿宋" w:cs="宋体"/>
          <w:b/>
          <w:kern w:val="0"/>
          <w:sz w:val="32"/>
          <w:szCs w:val="32"/>
        </w:rPr>
        <w:t>1.思想认识不到位。</w:t>
      </w:r>
      <w:r>
        <w:rPr>
          <w:rFonts w:hint="eastAsia" w:ascii="仿宋" w:hAnsi="仿宋" w:eastAsia="仿宋" w:cs="宋体"/>
          <w:kern w:val="0"/>
          <w:sz w:val="32"/>
          <w:szCs w:val="32"/>
        </w:rPr>
        <w:t>从评估情况来看，大部分评估对象已经认识到落实公平竞争审查制度有利于打破行政垄断、营造一流的营商环境。但也有个别单位仍未摆脱传统思维束缚，不能正确处理政府与市场的关系，过度干预市场主体经济活动。甚至有评估对象存在对公平竞争审查制度抱着可有可无的态度。</w:t>
      </w:r>
    </w:p>
    <w:p>
      <w:pPr>
        <w:widowControl/>
        <w:ind w:firstLine="643"/>
        <w:jc w:val="left"/>
        <w:rPr>
          <w:rFonts w:ascii="仿宋" w:hAnsi="仿宋" w:eastAsia="仿宋" w:cs="宋体"/>
          <w:kern w:val="0"/>
          <w:sz w:val="32"/>
          <w:szCs w:val="32"/>
        </w:rPr>
      </w:pPr>
      <w:r>
        <w:rPr>
          <w:rFonts w:hint="eastAsia" w:ascii="仿宋" w:hAnsi="仿宋" w:eastAsia="仿宋" w:cs="宋体"/>
          <w:b/>
          <w:kern w:val="0"/>
          <w:sz w:val="32"/>
          <w:szCs w:val="32"/>
        </w:rPr>
        <w:t>2. 审查程序不规范。</w:t>
      </w:r>
      <w:r>
        <w:rPr>
          <w:rFonts w:hint="eastAsia" w:ascii="仿宋" w:hAnsi="仿宋" w:eastAsia="仿宋" w:cs="宋体"/>
          <w:kern w:val="0"/>
          <w:sz w:val="32"/>
          <w:szCs w:val="32"/>
        </w:rPr>
        <w:t>部分评估对象将公平竞争审查纳入合法性审查，没有体现公平竞争审查的任何痕迹。同时开展审查仅征求相关部门意见，没有征求利害关系人意见或者向社会公开征求意见。评估对象存在程序空转、工作形式化、有部署没推动、没有形成审查合力等问题。</w:t>
      </w:r>
    </w:p>
    <w:p>
      <w:pPr>
        <w:widowControl/>
        <w:ind w:firstLine="643"/>
        <w:jc w:val="left"/>
        <w:rPr>
          <w:rFonts w:ascii="仿宋" w:hAnsi="仿宋" w:eastAsia="仿宋" w:cs="宋体"/>
          <w:kern w:val="0"/>
          <w:sz w:val="32"/>
          <w:szCs w:val="32"/>
        </w:rPr>
      </w:pPr>
      <w:r>
        <w:rPr>
          <w:rFonts w:hint="eastAsia" w:ascii="仿宋" w:hAnsi="仿宋" w:eastAsia="仿宋" w:cs="宋体"/>
          <w:b/>
          <w:kern w:val="0"/>
          <w:sz w:val="32"/>
          <w:szCs w:val="32"/>
        </w:rPr>
        <w:t>3. 审查范围不全面、质量不高。</w:t>
      </w:r>
      <w:r>
        <w:rPr>
          <w:rFonts w:hint="eastAsia" w:ascii="仿宋" w:hAnsi="仿宋" w:eastAsia="仿宋" w:cs="宋体"/>
          <w:kern w:val="0"/>
          <w:sz w:val="32"/>
          <w:szCs w:val="32"/>
        </w:rPr>
        <w:t>评估过程中发现评估对象对审查范围把握不准、存在困惑，部分评估对象对“审什么”“如何审”的要求认识不清，审查人员对招标投标、政府采购、经营行为规范类政策性文件（以及“一事一议”形式）基本没有纳入审查范围。</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部分评估对象的审查和清理工作形式大于实质，未严格对照公平竞争审查的四大类十八条标准，审查后仍有排除限制竞争的内容，如住建、商品流通等行业、领域。</w:t>
      </w:r>
    </w:p>
    <w:p>
      <w:pPr>
        <w:widowControl/>
        <w:shd w:val="clear" w:color="auto" w:fill="FFFFFF"/>
        <w:ind w:firstLine="700" w:firstLineChars="218"/>
        <w:jc w:val="left"/>
        <w:rPr>
          <w:rFonts w:ascii="仿宋" w:hAnsi="仿宋" w:eastAsia="仿宋" w:cs="宋体"/>
          <w:kern w:val="0"/>
          <w:sz w:val="32"/>
          <w:szCs w:val="32"/>
        </w:rPr>
      </w:pPr>
      <w:r>
        <w:rPr>
          <w:rFonts w:hint="eastAsia" w:ascii="仿宋" w:hAnsi="仿宋" w:eastAsia="仿宋" w:cs="宋体"/>
          <w:b/>
          <w:kern w:val="0"/>
          <w:sz w:val="32"/>
          <w:szCs w:val="32"/>
        </w:rPr>
        <w:t>4.审查人员能力不强，力量薄弱。</w:t>
      </w:r>
      <w:r>
        <w:rPr>
          <w:rFonts w:hint="eastAsia" w:ascii="仿宋" w:hAnsi="仿宋" w:eastAsia="仿宋" w:cs="宋体"/>
          <w:kern w:val="0"/>
          <w:sz w:val="32"/>
          <w:szCs w:val="32"/>
        </w:rPr>
        <w:t>部分评估对象审查人员业务素质与公平竞争审查工作不相适应，与审查工作的任务要求严重不匹配。工作能力不适应公平竞争审查工作专业性和特殊性要求，严重影响、制约公平竞争审查工作的开展。</w:t>
      </w:r>
    </w:p>
    <w:p>
      <w:pPr>
        <w:widowControl/>
        <w:ind w:firstLine="643"/>
        <w:jc w:val="left"/>
        <w:rPr>
          <w:rFonts w:hint="eastAsia" w:ascii="华文楷体" w:hAnsi="华文楷体" w:eastAsia="华文楷体" w:cs="华文楷体"/>
          <w:b/>
          <w:color w:val="auto"/>
          <w:kern w:val="0"/>
          <w:sz w:val="32"/>
          <w:szCs w:val="32"/>
        </w:rPr>
      </w:pPr>
      <w:r>
        <w:rPr>
          <w:rFonts w:hint="eastAsia" w:ascii="华文楷体" w:hAnsi="华文楷体" w:eastAsia="华文楷体" w:cs="华文楷体"/>
          <w:b/>
          <w:kern w:val="0"/>
          <w:sz w:val="32"/>
          <w:szCs w:val="32"/>
        </w:rPr>
        <w:t>（</w:t>
      </w:r>
      <w:r>
        <w:rPr>
          <w:rFonts w:hint="eastAsia" w:ascii="华文楷体" w:hAnsi="华文楷体" w:eastAsia="华文楷体" w:cs="华文楷体"/>
          <w:b/>
          <w:kern w:val="0"/>
          <w:sz w:val="32"/>
          <w:szCs w:val="32"/>
          <w:lang w:val="en-US" w:eastAsia="zh-CN"/>
        </w:rPr>
        <w:t>六</w:t>
      </w:r>
      <w:r>
        <w:rPr>
          <w:rFonts w:hint="eastAsia" w:ascii="华文楷体" w:hAnsi="华文楷体" w:eastAsia="华文楷体" w:cs="华文楷体"/>
          <w:b/>
          <w:kern w:val="0"/>
          <w:sz w:val="32"/>
          <w:szCs w:val="32"/>
        </w:rPr>
        <w:t>）评估对象政策措施违反公平竞争审查标准情况</w:t>
      </w:r>
      <w:r>
        <w:rPr>
          <w:rFonts w:hint="eastAsia" w:ascii="华文楷体" w:hAnsi="华文楷体" w:eastAsia="华文楷体" w:cs="华文楷体"/>
          <w:b/>
          <w:color w:val="auto"/>
          <w:kern w:val="0"/>
          <w:sz w:val="32"/>
          <w:szCs w:val="32"/>
          <w:lang w:val="en-US" w:eastAsia="zh-CN"/>
        </w:rPr>
        <w:t>及整改建议</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评估工作组在对存量（增量）政策措施进行评估时，发现市商务局、市住建局、市自然资源和规划局等单位共计15份政策措施（附表四）涉嫌违反公平竞争审查标准，建议修订。</w:t>
      </w:r>
    </w:p>
    <w:p>
      <w:pPr>
        <w:widowControl/>
        <w:shd w:val="clear" w:color="auto" w:fill="FFFFFF"/>
        <w:ind w:firstLine="835" w:firstLineChars="260"/>
        <w:jc w:val="left"/>
        <w:rPr>
          <w:rFonts w:ascii="仿宋" w:hAnsi="仿宋" w:eastAsia="仿宋" w:cs="宋体"/>
          <w:b/>
          <w:kern w:val="0"/>
          <w:sz w:val="32"/>
          <w:szCs w:val="32"/>
        </w:rPr>
      </w:pPr>
      <w:r>
        <w:rPr>
          <w:rFonts w:hint="eastAsia" w:ascii="仿宋" w:hAnsi="仿宋" w:eastAsia="仿宋" w:cs="宋体"/>
          <w:b/>
          <w:kern w:val="0"/>
          <w:sz w:val="32"/>
          <w:szCs w:val="32"/>
        </w:rPr>
        <w:t>1.违规限定经营、购买、使用特定经营者提供的商品和服务</w:t>
      </w:r>
    </w:p>
    <w:p>
      <w:pPr>
        <w:widowControl/>
        <w:shd w:val="clear" w:color="auto" w:fill="FFFFFF"/>
        <w:ind w:firstLine="515" w:firstLineChars="161"/>
        <w:jc w:val="left"/>
        <w:rPr>
          <w:rFonts w:ascii="仿宋" w:hAnsi="仿宋" w:eastAsia="仿宋" w:cs="Arial"/>
          <w:kern w:val="0"/>
          <w:sz w:val="32"/>
          <w:szCs w:val="32"/>
        </w:rPr>
      </w:pPr>
      <w:r>
        <w:rPr>
          <w:rFonts w:hint="eastAsia" w:ascii="仿宋" w:hAnsi="仿宋" w:eastAsia="仿宋" w:cs="Arial"/>
          <w:kern w:val="0"/>
          <w:sz w:val="32"/>
          <w:szCs w:val="32"/>
        </w:rPr>
        <w:t>（1）市商务局发布的《公示》和《关于鄂州市市级猪肉储备拟存储企业的公示》</w:t>
      </w:r>
    </w:p>
    <w:p>
      <w:pPr>
        <w:widowControl/>
        <w:shd w:val="clear" w:color="auto" w:fill="FFFFFF"/>
        <w:ind w:firstLine="515" w:firstLineChars="161"/>
        <w:jc w:val="left"/>
        <w:rPr>
          <w:rFonts w:ascii="仿宋" w:hAnsi="仿宋" w:eastAsia="仿宋" w:cs="Arial"/>
          <w:color w:val="auto"/>
          <w:kern w:val="0"/>
          <w:sz w:val="32"/>
          <w:szCs w:val="32"/>
        </w:rPr>
      </w:pPr>
      <w:r>
        <w:rPr>
          <w:rFonts w:hint="eastAsia" w:ascii="仿宋" w:hAnsi="仿宋" w:eastAsia="仿宋" w:cs="Arial"/>
          <w:kern w:val="0"/>
          <w:sz w:val="32"/>
          <w:szCs w:val="32"/>
        </w:rPr>
        <w:t>市商务局2018年4月24日在该局门户网站发布《公示》，推荐鄂州市大丰牧业有限公司东港原种猪场作为湖北省猪肉储备存储单位，予以公示；市商务局2019年9月9日在该局门户网站发布《关于鄂州市市级猪肉储备拟存储企业的公示》，初步确定华沛（武汉）供应链管理有限公司拟承担我市冷冻猪肉储备工作，予以公示。评估组查阅该局门户网站全部公示公告，未发现市商务局发布关于要求企业申报“省猪肉储备存储单位”或“市冷冻猪肉储备单位”的公告信息</w:t>
      </w:r>
      <w:r>
        <w:rPr>
          <w:rFonts w:hint="eastAsia" w:ascii="仿宋" w:hAnsi="仿宋" w:eastAsia="仿宋" w:cs="Arial"/>
          <w:kern w:val="0"/>
          <w:sz w:val="32"/>
          <w:szCs w:val="32"/>
          <w:lang w:val="en-US" w:eastAsia="zh-CN"/>
        </w:rPr>
        <w:t>以及</w:t>
      </w:r>
      <w:r>
        <w:rPr>
          <w:rFonts w:hint="eastAsia" w:ascii="仿宋" w:hAnsi="仿宋" w:eastAsia="仿宋" w:cs="Arial"/>
          <w:color w:val="auto"/>
          <w:kern w:val="0"/>
          <w:sz w:val="32"/>
          <w:szCs w:val="32"/>
          <w:lang w:val="en-US" w:eastAsia="zh-CN"/>
        </w:rPr>
        <w:t>通过招标方式确定</w:t>
      </w:r>
      <w:r>
        <w:rPr>
          <w:rFonts w:hint="eastAsia" w:ascii="仿宋" w:hAnsi="仿宋" w:eastAsia="仿宋" w:cs="Arial"/>
          <w:color w:val="auto"/>
          <w:kern w:val="0"/>
          <w:sz w:val="32"/>
          <w:szCs w:val="32"/>
        </w:rPr>
        <w:t>存储企业的</w:t>
      </w:r>
      <w:r>
        <w:rPr>
          <w:rFonts w:hint="eastAsia" w:ascii="仿宋" w:hAnsi="仿宋" w:eastAsia="仿宋" w:cs="Arial"/>
          <w:color w:val="auto"/>
          <w:kern w:val="0"/>
          <w:sz w:val="32"/>
          <w:szCs w:val="32"/>
          <w:lang w:val="en-US" w:eastAsia="zh-CN"/>
        </w:rPr>
        <w:t>公示信息</w:t>
      </w:r>
      <w:r>
        <w:rPr>
          <w:rFonts w:hint="eastAsia" w:ascii="仿宋" w:hAnsi="仿宋" w:eastAsia="仿宋" w:cs="Arial"/>
          <w:color w:val="auto"/>
          <w:kern w:val="0"/>
          <w:sz w:val="32"/>
          <w:szCs w:val="32"/>
        </w:rPr>
        <w:t>。</w:t>
      </w:r>
    </w:p>
    <w:p>
      <w:pPr>
        <w:widowControl/>
        <w:shd w:val="clear" w:color="auto" w:fill="FFFFFF"/>
        <w:ind w:firstLine="515" w:firstLineChars="161"/>
        <w:jc w:val="left"/>
        <w:rPr>
          <w:rFonts w:ascii="仿宋" w:hAnsi="仿宋" w:eastAsia="仿宋" w:cs="Arial"/>
          <w:kern w:val="0"/>
          <w:sz w:val="32"/>
          <w:szCs w:val="32"/>
        </w:rPr>
      </w:pPr>
      <w:r>
        <w:rPr>
          <w:rFonts w:hint="eastAsia" w:ascii="仿宋" w:hAnsi="仿宋" w:eastAsia="仿宋" w:cs="Arial"/>
          <w:kern w:val="0"/>
          <w:sz w:val="32"/>
          <w:szCs w:val="32"/>
        </w:rPr>
        <w:t>上述两份公示涉嫌违反《公平竞争审查制度实施细则（暂行）》第十四条</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市场准入和退出标准</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rPr>
        <w:t>第三项“</w:t>
      </w:r>
      <w:r>
        <w:rPr>
          <w:rFonts w:hint="eastAsia" w:ascii="仿宋" w:hAnsi="仿宋" w:eastAsia="仿宋" w:cs="Arial"/>
          <w:color w:val="auto"/>
          <w:kern w:val="0"/>
          <w:sz w:val="32"/>
          <w:szCs w:val="32"/>
          <w:lang w:val="en-US" w:eastAsia="zh-CN"/>
        </w:rPr>
        <w:t>不得</w:t>
      </w:r>
      <w:r>
        <w:rPr>
          <w:rFonts w:hint="eastAsia" w:ascii="仿宋" w:hAnsi="仿宋" w:eastAsia="仿宋" w:cs="Arial"/>
          <w:color w:val="auto"/>
          <w:kern w:val="0"/>
          <w:sz w:val="32"/>
          <w:szCs w:val="32"/>
        </w:rPr>
        <w:t>限定经营、购</w:t>
      </w:r>
      <w:r>
        <w:rPr>
          <w:rFonts w:hint="eastAsia" w:ascii="仿宋" w:hAnsi="仿宋" w:eastAsia="仿宋" w:cs="Arial"/>
          <w:kern w:val="0"/>
          <w:sz w:val="32"/>
          <w:szCs w:val="32"/>
        </w:rPr>
        <w:t>买、使用特定经营者提供的商品和服务”的规定。</w:t>
      </w:r>
    </w:p>
    <w:p>
      <w:pPr>
        <w:widowControl/>
        <w:shd w:val="clear" w:color="auto" w:fill="FFFFFF"/>
        <w:ind w:firstLine="515" w:firstLineChars="161"/>
        <w:jc w:val="left"/>
        <w:rPr>
          <w:rFonts w:ascii="仿宋" w:hAnsi="仿宋" w:eastAsia="仿宋" w:cs="Arial"/>
          <w:kern w:val="0"/>
          <w:sz w:val="32"/>
          <w:szCs w:val="32"/>
        </w:rPr>
      </w:pPr>
      <w:r>
        <w:rPr>
          <w:rFonts w:hint="eastAsia" w:ascii="仿宋" w:hAnsi="仿宋" w:eastAsia="仿宋" w:cs="Arial"/>
          <w:kern w:val="0"/>
          <w:sz w:val="32"/>
          <w:szCs w:val="32"/>
          <w:lang w:val="en-US" w:eastAsia="zh-CN"/>
        </w:rPr>
        <w:t>整改</w:t>
      </w:r>
      <w:r>
        <w:rPr>
          <w:rFonts w:hint="eastAsia" w:ascii="仿宋" w:hAnsi="仿宋" w:eastAsia="仿宋" w:cs="Arial"/>
          <w:kern w:val="0"/>
          <w:sz w:val="32"/>
          <w:szCs w:val="32"/>
        </w:rPr>
        <w:t>建议</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市商务局在选定猪肉储备企业等专项储备企业过程中，注重公平竞争审查，履行向社会公众公开征集程序，并进行信息公开。</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（2）市住建局《关于开展建设领域施工现场专业人员职业培训继续教育及合格证书换证工作的通知》</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市住建局鄂州建办发〔2020〕31号规范性文件《关于开展建设领域施工现场专业人员职业培训继续教育及合格证书换证工作的通知》第一条 “鄂州市捷创建设职业技术培训学校有限公司具备了职业培训机构应具备的基本条件，取得我市建设领域施工现场专业人员职业培训继续教育及合格证书换证工作资格，是目前我市现场专业人员职业培训继续教育及合格证书换证工作的唯一培训机构”。</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该通知涉嫌违反《公平竞争审查制度实施细则（暂行）》第十四条第三项关于“不得限定经营、购买、使用特定经营者提供的商品和服务”的规定。 2020年12月3日，市住建局已明确废止该该通知并在门户网站进行公告。</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（3）市住建局起草《</w:t>
      </w:r>
      <w:r>
        <w:rPr>
          <w:rFonts w:ascii="仿宋" w:hAnsi="仿宋" w:eastAsia="仿宋" w:cs="Arial"/>
          <w:kern w:val="0"/>
          <w:sz w:val="32"/>
          <w:szCs w:val="32"/>
        </w:rPr>
        <w:t>&lt;</w:t>
      </w:r>
      <w:r>
        <w:rPr>
          <w:rFonts w:hint="eastAsia" w:ascii="仿宋" w:hAnsi="仿宋" w:eastAsia="仿宋" w:cs="Arial"/>
          <w:kern w:val="0"/>
          <w:sz w:val="32"/>
          <w:szCs w:val="32"/>
        </w:rPr>
        <w:t>鄂州市住宅专项维修资金管理办法</w:t>
      </w:r>
      <w:r>
        <w:rPr>
          <w:rFonts w:ascii="仿宋" w:hAnsi="仿宋" w:eastAsia="仿宋" w:cs="Arial"/>
          <w:kern w:val="0"/>
          <w:sz w:val="32"/>
          <w:szCs w:val="32"/>
        </w:rPr>
        <w:t>&gt;</w:t>
      </w:r>
      <w:r>
        <w:rPr>
          <w:rFonts w:hint="eastAsia" w:ascii="仿宋" w:hAnsi="仿宋" w:eastAsia="仿宋" w:cs="Arial"/>
          <w:kern w:val="0"/>
          <w:sz w:val="32"/>
          <w:szCs w:val="32"/>
        </w:rPr>
        <w:t>实施细则》</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市住建局代市政府起草《</w:t>
      </w:r>
      <w:r>
        <w:rPr>
          <w:rFonts w:ascii="仿宋" w:hAnsi="仿宋" w:eastAsia="仿宋" w:cs="Arial"/>
          <w:kern w:val="0"/>
          <w:sz w:val="32"/>
          <w:szCs w:val="32"/>
        </w:rPr>
        <w:t>&lt;</w:t>
      </w:r>
      <w:r>
        <w:rPr>
          <w:rFonts w:hint="eastAsia" w:ascii="仿宋" w:hAnsi="仿宋" w:eastAsia="仿宋" w:cs="Arial"/>
          <w:kern w:val="0"/>
          <w:sz w:val="32"/>
          <w:szCs w:val="32"/>
        </w:rPr>
        <w:t>鄂州市住宅专项维修资金管理办法</w:t>
      </w:r>
      <w:r>
        <w:rPr>
          <w:rFonts w:ascii="仿宋" w:hAnsi="仿宋" w:eastAsia="仿宋" w:cs="Arial"/>
          <w:kern w:val="0"/>
          <w:sz w:val="32"/>
          <w:szCs w:val="32"/>
        </w:rPr>
        <w:t>&gt;</w:t>
      </w:r>
      <w:r>
        <w:rPr>
          <w:rFonts w:hint="eastAsia" w:ascii="仿宋" w:hAnsi="仿宋" w:eastAsia="仿宋" w:cs="Arial"/>
          <w:kern w:val="0"/>
          <w:sz w:val="32"/>
          <w:szCs w:val="32"/>
        </w:rPr>
        <w:t>实施细则》第二十五条 “市住房和城乡建设局根据服务机构的诚信记录、相关资质和专业实力，建立涵盖工程造价咨询、招投标代理、工程施工、工程监理、工程审计、电梯维修、消防维修等方面的服务机构名录库。名录库向社会公开征集、公示，接受社会监督，实行动态管理。维修资金使用申请人可自愿在名录库中选择相应的服务机构”的规定。</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该条款表述不严谨，容易误导维修资金使用申请人在名录库中选定服务机构，涉嫌违反《公平竞争审查制度实施细则（暂行）》第十四条第三项关于“不得限定经营、购买、使用特定经营者提供的商品和服务……通过设置项目库、目录库方式排斥或限制潜在经营者提供商品和服务”的规定。</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建议将文件中 “市住房和城乡建设局根据服务机构的诚信记录、相关资质和专业实力，建立涵盖工程造价咨询、招投标代理、工程施工、工程监理、工程审计、电梯维修、消防维修等方面的服务机构名录库。名录库向社会公开征集、公示，接受社会监督，实行动态管理。维修资金使用申请人可自愿在名录库中选择相应的服务机构。”删掉，并依法予以信息公开。如设置名录库，建议名录库的适用范围为：在发生危及房屋安全等紧急情况，需要立即对住宅共用部位、共用设施设备进行维修和更新、改造的，业委会、物业服务企业未按照规定及时维修和更新、改造的，市住房和城乡建设局组织代修的，从名录库选择服务机构进行紧急维修。</w:t>
      </w:r>
    </w:p>
    <w:p>
      <w:pPr>
        <w:widowControl/>
        <w:shd w:val="clear" w:color="auto" w:fill="FFFFFF"/>
        <w:ind w:firstLine="835" w:firstLineChars="260"/>
        <w:jc w:val="left"/>
        <w:rPr>
          <w:rFonts w:ascii="仿宋" w:hAnsi="仿宋" w:eastAsia="仿宋" w:cs="Arial"/>
          <w:b/>
          <w:kern w:val="0"/>
          <w:sz w:val="32"/>
          <w:szCs w:val="32"/>
        </w:rPr>
      </w:pPr>
      <w:r>
        <w:rPr>
          <w:rFonts w:hint="eastAsia" w:ascii="仿宋" w:hAnsi="仿宋" w:eastAsia="仿宋" w:cs="Arial"/>
          <w:b/>
          <w:kern w:val="0"/>
          <w:sz w:val="32"/>
          <w:szCs w:val="32"/>
        </w:rPr>
        <w:t>2.违规设置禁止市场主体准入行业、领域</w:t>
      </w:r>
    </w:p>
    <w:p>
      <w:pPr>
        <w:widowControl/>
        <w:shd w:val="clear" w:color="auto" w:fill="FFFFFF"/>
        <w:ind w:firstLine="832" w:firstLineChars="260"/>
        <w:jc w:val="left"/>
        <w:rPr>
          <w:rFonts w:ascii="仿宋" w:hAnsi="仿宋" w:eastAsia="仿宋" w:cs="Arial"/>
          <w:kern w:val="0"/>
          <w:sz w:val="32"/>
          <w:szCs w:val="32"/>
        </w:rPr>
      </w:pPr>
      <w:r>
        <w:rPr>
          <w:rFonts w:hint="eastAsia" w:ascii="仿宋" w:hAnsi="仿宋" w:eastAsia="仿宋" w:cs="Arial"/>
          <w:kern w:val="0"/>
          <w:sz w:val="32"/>
          <w:szCs w:val="32"/>
        </w:rPr>
        <w:t>（1）市住建局《关于进一步规范预拌混凝土行业管理工作的通知》</w:t>
      </w:r>
    </w:p>
    <w:p>
      <w:pPr>
        <w:widowControl/>
        <w:shd w:val="clear" w:color="auto" w:fill="FFFFFF"/>
        <w:ind w:firstLine="832" w:firstLineChars="260"/>
        <w:jc w:val="left"/>
        <w:rPr>
          <w:rFonts w:ascii="仿宋" w:hAnsi="仿宋" w:eastAsia="仿宋" w:cs="Arial"/>
          <w:kern w:val="0"/>
          <w:sz w:val="32"/>
          <w:szCs w:val="32"/>
        </w:rPr>
      </w:pPr>
      <w:r>
        <w:rPr>
          <w:rFonts w:hint="eastAsia" w:ascii="仿宋" w:hAnsi="仿宋" w:eastAsia="仿宋" w:cs="Arial"/>
          <w:kern w:val="0"/>
          <w:sz w:val="32"/>
          <w:szCs w:val="32"/>
        </w:rPr>
        <w:t>市住建局《关于进一步规范预拌混凝土行业管理工作的通知》第一条 “为避免进一步激化市场供需矛盾，原则上不再审批建设预拌混凝土搅拌站</w:t>
      </w:r>
      <w:r>
        <w:rPr>
          <w:rFonts w:ascii="仿宋" w:hAnsi="仿宋" w:eastAsia="仿宋" w:cs="Arial"/>
          <w:kern w:val="0"/>
          <w:sz w:val="32"/>
          <w:szCs w:val="32"/>
        </w:rPr>
        <w:t>……</w:t>
      </w:r>
      <w:r>
        <w:rPr>
          <w:rFonts w:hint="eastAsia" w:ascii="仿宋" w:hAnsi="仿宋" w:eastAsia="仿宋" w:cs="Arial"/>
          <w:kern w:val="0"/>
          <w:sz w:val="32"/>
          <w:szCs w:val="32"/>
        </w:rPr>
        <w:t>”。评估人员查询国家发展改革委、商务部《市场准入负面清单（2019年版）》（发改体改〔2019〕1685号），生产预拌混凝土不属于目录内禁止准入行业、领域。该政策措施排除预拌混凝土搅拌站设立。</w:t>
      </w:r>
    </w:p>
    <w:p>
      <w:pPr>
        <w:widowControl/>
        <w:shd w:val="clear" w:color="auto" w:fill="FFFFFF"/>
        <w:ind w:firstLine="832" w:firstLineChars="260"/>
        <w:jc w:val="left"/>
        <w:rPr>
          <w:rFonts w:ascii="仿宋" w:hAnsi="仿宋" w:eastAsia="仿宋" w:cs="Arial"/>
          <w:kern w:val="0"/>
          <w:sz w:val="32"/>
          <w:szCs w:val="32"/>
        </w:rPr>
      </w:pPr>
      <w:r>
        <w:rPr>
          <w:rFonts w:hint="eastAsia" w:ascii="仿宋" w:hAnsi="仿宋" w:eastAsia="仿宋" w:cs="Arial"/>
          <w:kern w:val="0"/>
          <w:sz w:val="32"/>
          <w:szCs w:val="32"/>
        </w:rPr>
        <w:t>该条款涉嫌违反《公平竞争审查制度实施细则（暂行）》第十四条第五项关于“不得对市场准入负面清单以外的行业、领域、业务等设置审批程序，主要指无法律法规或者国务院决定，采取禁止进入、限制市场主体资质”的规定。</w:t>
      </w:r>
    </w:p>
    <w:p>
      <w:pPr>
        <w:widowControl/>
        <w:shd w:val="clear" w:color="auto" w:fill="FFFFFF"/>
        <w:ind w:firstLine="515" w:firstLineChars="161"/>
        <w:jc w:val="left"/>
        <w:rPr>
          <w:rFonts w:ascii="仿宋" w:hAnsi="仿宋" w:eastAsia="仿宋" w:cs="Arial"/>
          <w:kern w:val="0"/>
          <w:sz w:val="32"/>
          <w:szCs w:val="32"/>
        </w:rPr>
      </w:pPr>
      <w:r>
        <w:rPr>
          <w:rFonts w:hint="eastAsia" w:ascii="仿宋" w:hAnsi="仿宋" w:eastAsia="仿宋" w:cs="Arial"/>
          <w:kern w:val="0"/>
          <w:sz w:val="32"/>
          <w:szCs w:val="32"/>
        </w:rPr>
        <w:t>建议将文件中 “为避免进一步激化市场供需矛盾，原则上不再审批建设预拌混凝土搅拌站” 修改为：“为保障预拌混凝土行业健康发展，合理引导预拌混凝土搅拌站布局及建设”，并进行信息公开。</w:t>
      </w:r>
    </w:p>
    <w:p>
      <w:pPr>
        <w:widowControl/>
        <w:shd w:val="clear" w:color="auto" w:fill="FFFFFF"/>
        <w:ind w:firstLine="675" w:firstLineChars="210"/>
        <w:jc w:val="left"/>
        <w:rPr>
          <w:rFonts w:ascii="仿宋" w:hAnsi="仿宋" w:eastAsia="仿宋" w:cs="Arial"/>
          <w:b/>
          <w:kern w:val="0"/>
          <w:sz w:val="32"/>
          <w:szCs w:val="32"/>
        </w:rPr>
      </w:pPr>
      <w:r>
        <w:rPr>
          <w:rFonts w:hint="eastAsia" w:ascii="仿宋" w:hAnsi="仿宋" w:eastAsia="仿宋" w:cs="Arial"/>
          <w:b/>
          <w:kern w:val="0"/>
          <w:sz w:val="32"/>
          <w:szCs w:val="32"/>
        </w:rPr>
        <w:t>3.违规设置不合理和歧视性的准入和退出条件</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（1）市自然资源和规划局国有土地使用权出让公告</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自然资源和规划局关于G[2017]055-060号地块、G[2019]001-003号地块、G[2019]004-006号地块、G[2019]007-010号地块、G[2020]003-004号地块、G[2020]019-022号地块、G[2020]024-029号地块等7份国有土地使用权出让公告，明确要求竞买人或（实际控股）股东须为世界500强企业（以《财富》杂志公布最新榜单为准），或中房协“2019中国房地产开发企业50强”或“2019年中国连锁百强排行榜”前十名。其中G[2020]019-022号地块要求竞买人“需与临空经济区管委会签订《项目建设运营履约监管协议》，并提供3亿元金融机构保函和缴纳5000万竞买诚意金才具备竞买资格</w:t>
      </w:r>
      <w:r>
        <w:rPr>
          <w:rFonts w:ascii="仿宋" w:hAnsi="仿宋" w:eastAsia="仿宋" w:cs="Arial"/>
          <w:kern w:val="0"/>
          <w:sz w:val="32"/>
          <w:szCs w:val="32"/>
        </w:rPr>
        <w:t>……</w:t>
      </w:r>
      <w:r>
        <w:rPr>
          <w:rFonts w:hint="eastAsia" w:ascii="仿宋" w:hAnsi="仿宋" w:eastAsia="仿宋" w:cs="Arial"/>
          <w:kern w:val="0"/>
          <w:sz w:val="32"/>
          <w:szCs w:val="32"/>
        </w:rPr>
        <w:t>临空经济区管委会出具《收到金融机构保函及竞买诚意金确认书》后方可参与竞拍”。</w:t>
      </w:r>
    </w:p>
    <w:p>
      <w:pPr>
        <w:widowControl/>
        <w:shd w:val="clear" w:color="auto" w:fill="FFFFFF"/>
        <w:ind w:firstLine="832" w:firstLineChars="260"/>
        <w:jc w:val="left"/>
        <w:rPr>
          <w:rFonts w:ascii="仿宋" w:hAnsi="仿宋" w:eastAsia="仿宋" w:cs="Arial"/>
          <w:kern w:val="0"/>
          <w:sz w:val="32"/>
          <w:szCs w:val="32"/>
        </w:rPr>
      </w:pPr>
      <w:r>
        <w:rPr>
          <w:rFonts w:hint="eastAsia" w:ascii="仿宋" w:hAnsi="仿宋" w:eastAsia="仿宋" w:cs="Arial"/>
          <w:kern w:val="0"/>
          <w:sz w:val="32"/>
          <w:szCs w:val="32"/>
        </w:rPr>
        <w:t>上述条款涉嫌违反《公平竞争审查制度实施细则（暂行）》第十四条第一项关于“不得设置不合理和歧视性的准入和退出条件”的规定。</w:t>
      </w:r>
    </w:p>
    <w:p>
      <w:pPr>
        <w:widowControl/>
        <w:shd w:val="clear" w:color="auto" w:fill="FFFFFF"/>
        <w:ind w:firstLine="832" w:firstLineChars="260"/>
        <w:jc w:val="left"/>
        <w:rPr>
          <w:rFonts w:ascii="仿宋" w:hAnsi="仿宋" w:eastAsia="仿宋" w:cs="Arial"/>
          <w:kern w:val="0"/>
          <w:sz w:val="32"/>
          <w:szCs w:val="32"/>
        </w:rPr>
      </w:pPr>
      <w:r>
        <w:rPr>
          <w:rFonts w:hint="eastAsia" w:ascii="仿宋" w:hAnsi="仿宋" w:eastAsia="仿宋" w:cs="Arial"/>
          <w:kern w:val="0"/>
          <w:sz w:val="32"/>
          <w:szCs w:val="32"/>
        </w:rPr>
        <w:t>建议市自然资源和规划局在</w:t>
      </w:r>
      <w:r>
        <w:rPr>
          <w:rFonts w:ascii="仿宋" w:hAnsi="仿宋" w:eastAsia="仿宋" w:cs="Arial"/>
          <w:kern w:val="0"/>
          <w:sz w:val="32"/>
          <w:szCs w:val="32"/>
        </w:rPr>
        <w:t>保证重大项目落地的</w:t>
      </w:r>
      <w:r>
        <w:rPr>
          <w:rFonts w:hint="eastAsia" w:ascii="仿宋" w:hAnsi="仿宋" w:eastAsia="仿宋" w:cs="Arial"/>
          <w:kern w:val="0"/>
          <w:sz w:val="32"/>
          <w:szCs w:val="32"/>
        </w:rPr>
        <w:t>同时</w:t>
      </w:r>
      <w:r>
        <w:rPr>
          <w:rFonts w:ascii="仿宋" w:hAnsi="仿宋" w:eastAsia="仿宋" w:cs="Arial"/>
          <w:kern w:val="0"/>
          <w:sz w:val="32"/>
          <w:szCs w:val="32"/>
        </w:rPr>
        <w:t>，</w:t>
      </w:r>
      <w:r>
        <w:rPr>
          <w:rFonts w:hint="eastAsia" w:ascii="仿宋" w:hAnsi="仿宋" w:eastAsia="仿宋" w:cs="Arial"/>
          <w:kern w:val="0"/>
          <w:sz w:val="32"/>
          <w:szCs w:val="32"/>
        </w:rPr>
        <w:t>注重</w:t>
      </w:r>
      <w:r>
        <w:rPr>
          <w:rFonts w:ascii="仿宋" w:hAnsi="仿宋" w:eastAsia="仿宋" w:cs="Arial"/>
          <w:kern w:val="0"/>
          <w:sz w:val="32"/>
          <w:szCs w:val="32"/>
        </w:rPr>
        <w:t>土地</w:t>
      </w:r>
      <w:r>
        <w:rPr>
          <w:rFonts w:hint="eastAsia" w:ascii="仿宋" w:hAnsi="仿宋" w:eastAsia="仿宋" w:cs="Arial"/>
          <w:kern w:val="0"/>
          <w:sz w:val="32"/>
          <w:szCs w:val="32"/>
        </w:rPr>
        <w:t>使用权</w:t>
      </w:r>
      <w:r>
        <w:rPr>
          <w:rFonts w:ascii="仿宋" w:hAnsi="仿宋" w:eastAsia="仿宋" w:cs="Arial"/>
          <w:kern w:val="0"/>
          <w:sz w:val="32"/>
          <w:szCs w:val="32"/>
        </w:rPr>
        <w:t>出让</w:t>
      </w:r>
      <w:r>
        <w:rPr>
          <w:rFonts w:hint="eastAsia" w:ascii="仿宋" w:hAnsi="仿宋" w:eastAsia="仿宋" w:cs="Arial"/>
          <w:kern w:val="0"/>
          <w:sz w:val="32"/>
          <w:szCs w:val="32"/>
        </w:rPr>
        <w:t>公告</w:t>
      </w:r>
      <w:r>
        <w:rPr>
          <w:rFonts w:ascii="仿宋" w:hAnsi="仿宋" w:eastAsia="仿宋" w:cs="Arial"/>
          <w:kern w:val="0"/>
          <w:sz w:val="32"/>
          <w:szCs w:val="32"/>
        </w:rPr>
        <w:t>的公平、公正，严禁设置唯一性和明显排他性的土地出让竞买条件。</w:t>
      </w:r>
      <w:r>
        <w:rPr>
          <w:rFonts w:hint="eastAsia" w:ascii="仿宋" w:hAnsi="仿宋" w:eastAsia="仿宋" w:cs="Arial"/>
          <w:kern w:val="0"/>
          <w:sz w:val="32"/>
          <w:szCs w:val="32"/>
        </w:rPr>
        <w:t>排除利害关系人及社会公众对土地使用权出让公告系专为竞买人“量身定制”的误解。</w:t>
      </w:r>
    </w:p>
    <w:p>
      <w:pPr>
        <w:widowControl/>
        <w:ind w:firstLine="643"/>
        <w:jc w:val="left"/>
        <w:rPr>
          <w:rFonts w:ascii="仿宋" w:hAnsi="仿宋" w:eastAsia="仿宋" w:cs="宋体"/>
          <w:b/>
          <w:kern w:val="0"/>
          <w:sz w:val="32"/>
          <w:szCs w:val="32"/>
        </w:rPr>
      </w:pPr>
      <w:r>
        <w:rPr>
          <w:rFonts w:hint="eastAsia" w:ascii="仿宋" w:hAnsi="仿宋" w:eastAsia="仿宋" w:cs="宋体"/>
          <w:b/>
          <w:kern w:val="0"/>
          <w:sz w:val="32"/>
          <w:szCs w:val="32"/>
        </w:rPr>
        <w:t>4.违反规定给予特定经营者优惠政策</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（1）市商务局发布的《鄂州市商务局优化营商环境公开承诺书》</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市商务局2020年8月10日在该局门户网站发布《鄂州市商务局优化营商环境公开承诺书》第5条关于提高市场开放包容程度 “制定更加激励的政策措施，加大对外商项目的优惠力度</w:t>
      </w:r>
      <w:r>
        <w:rPr>
          <w:rFonts w:ascii="仿宋" w:hAnsi="仿宋" w:eastAsia="仿宋" w:cs="Arial"/>
          <w:kern w:val="0"/>
          <w:sz w:val="32"/>
          <w:szCs w:val="32"/>
        </w:rPr>
        <w:t>……”</w:t>
      </w:r>
      <w:r>
        <w:rPr>
          <w:rFonts w:hint="eastAsia" w:ascii="仿宋" w:hAnsi="仿宋" w:eastAsia="仿宋" w:cs="Arial"/>
          <w:kern w:val="0"/>
          <w:sz w:val="32"/>
          <w:szCs w:val="32"/>
        </w:rPr>
        <w:t>的规定。</w:t>
      </w:r>
    </w:p>
    <w:p>
      <w:pPr>
        <w:widowControl/>
        <w:shd w:val="clear" w:color="auto" w:fill="FFFFFF"/>
        <w:ind w:firstLine="672" w:firstLineChars="210"/>
        <w:jc w:val="left"/>
        <w:rPr>
          <w:rFonts w:hint="eastAsia" w:ascii="仿宋" w:hAnsi="仿宋" w:eastAsia="仿宋" w:cs="Arial"/>
          <w:kern w:val="0"/>
          <w:sz w:val="32"/>
          <w:szCs w:val="32"/>
        </w:rPr>
      </w:pPr>
      <w:r>
        <w:rPr>
          <w:rFonts w:hint="eastAsia" w:ascii="仿宋" w:hAnsi="仿宋" w:eastAsia="仿宋" w:cs="Arial"/>
          <w:kern w:val="0"/>
          <w:sz w:val="32"/>
          <w:szCs w:val="32"/>
        </w:rPr>
        <w:t>该承诺书涉嫌违反《公平竞争审查制度实施细则（暂行）》第十六条第一项关于“不得违法给予特定经营者优惠政策”的规定。</w:t>
      </w:r>
    </w:p>
    <w:p>
      <w:pPr>
        <w:widowControl/>
        <w:shd w:val="clear" w:color="auto" w:fill="FFFFFF"/>
        <w:ind w:firstLine="672" w:firstLineChars="210"/>
        <w:jc w:val="left"/>
        <w:rPr>
          <w:rFonts w:hint="eastAsia" w:ascii="仿宋" w:hAnsi="仿宋" w:eastAsia="仿宋" w:cs="Arial"/>
          <w:kern w:val="0"/>
          <w:sz w:val="32"/>
          <w:szCs w:val="32"/>
        </w:rPr>
      </w:pPr>
      <w:r>
        <w:rPr>
          <w:rFonts w:hint="eastAsia" w:ascii="仿宋" w:hAnsi="仿宋" w:eastAsia="仿宋" w:cs="Arial"/>
          <w:kern w:val="0"/>
          <w:sz w:val="32"/>
          <w:szCs w:val="32"/>
        </w:rPr>
        <w:t>建议将承诺书中“制定更加激励的政策措施，加大对外商项目的优惠力度”修改为：“持续加大对外开放力度，优化外商投资环境”。</w:t>
      </w:r>
    </w:p>
    <w:p>
      <w:pPr>
        <w:widowControl/>
        <w:shd w:val="clear" w:color="auto" w:fill="FFFFFF"/>
        <w:ind w:firstLine="675" w:firstLineChars="210"/>
        <w:jc w:val="left"/>
        <w:rPr>
          <w:rFonts w:hint="eastAsia" w:ascii="仿宋" w:hAnsi="仿宋" w:eastAsia="仿宋" w:cs="Arial"/>
          <w:b/>
          <w:kern w:val="0"/>
          <w:sz w:val="32"/>
          <w:szCs w:val="32"/>
        </w:rPr>
      </w:pPr>
      <w:r>
        <w:rPr>
          <w:rFonts w:hint="eastAsia" w:ascii="仿宋" w:hAnsi="仿宋" w:eastAsia="仿宋" w:cs="Arial"/>
          <w:b/>
          <w:kern w:val="0"/>
          <w:sz w:val="32"/>
          <w:szCs w:val="32"/>
        </w:rPr>
        <w:t>5.安排财政支出与企业缴纳的税收或非税收入挂钩</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（1）市地方金融局起草的《关于进一步推动企业利用资本市场加快发展的实施意见》</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市地方金融局代市政府起草的《关于进一步推动企业利用资本市场加快发展的实施意见》鄂州政发〔2017〕5号文件第四项加大政策引导和扶持力度第二条推进企业到场外交易市场挂牌：“ 1.</w:t>
      </w:r>
      <w:r>
        <w:rPr>
          <w:rFonts w:hint="eastAsia"/>
        </w:rPr>
        <w:t xml:space="preserve"> </w:t>
      </w:r>
      <w:r>
        <w:rPr>
          <w:rFonts w:hint="eastAsia" w:ascii="仿宋" w:hAnsi="仿宋" w:eastAsia="仿宋" w:cs="Arial"/>
          <w:kern w:val="0"/>
          <w:sz w:val="32"/>
          <w:szCs w:val="32"/>
        </w:rPr>
        <w:t>鼓励有限责任公司赴武汉股权托管交易中心交易板挂牌。对守法经营、正常纳税、连续3年纳税总额累计在100万元以上的规上企业、高新技术企业（含新引进的战略性新兴产业）、农业产业化企业、限上企业（分别由市经信委、市科技局、市农委、市商务局、市国税局、市地税局出具相关证明文件）成功挂牌给予一次性30万元补助”。</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该条款涉嫌违反《公平竞争审查制度实施细则（暂行）》第十六条第二项关于“</w:t>
      </w:r>
      <w:r>
        <w:rPr>
          <w:rFonts w:ascii="仿宋" w:hAnsi="仿宋" w:eastAsia="仿宋" w:cs="Arial"/>
          <w:kern w:val="0"/>
          <w:sz w:val="32"/>
          <w:szCs w:val="32"/>
        </w:rPr>
        <w:t>安排财政支出一般不得与企业缴纳的税收或非税收入挂钩</w:t>
      </w:r>
      <w:r>
        <w:rPr>
          <w:rFonts w:hint="eastAsia" w:ascii="仿宋" w:hAnsi="仿宋" w:eastAsia="仿宋" w:cs="Arial"/>
          <w:kern w:val="0"/>
          <w:sz w:val="32"/>
          <w:szCs w:val="32"/>
        </w:rPr>
        <w:t>”的规定。</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建议将：连续3年纳税总额累计在100万元以上删除，或使用其他标准替换税收标准。</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（2）市发改委起草的《市人民政府关于促进服务业发展若干政策措施的意见》</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rPr>
        <w:t>市发改委代市政府起草的《市人民政府关于促进服务业发展若干政策措施的意见》鄂州政发〔2019〕3号文件第二条支持重点企业做大做强。 “打造精品专业市场，对实现集中收银并纳入服务业统计库的商业综合体，当年奖励10万元，对年度税收或经济体量贡献较大的，次年一次性追加奖励5万元。……对规模（限额）以上服务业企业年度税收在同行业（按国民经济行业分类大类划分）排前3名的服务业企业，一次性奖励5万元”。</w:t>
      </w:r>
    </w:p>
    <w:p>
      <w:pPr>
        <w:widowControl/>
        <w:shd w:val="clear" w:color="auto" w:fill="FFFFFF"/>
        <w:ind w:firstLine="672" w:firstLineChars="210"/>
        <w:jc w:val="left"/>
        <w:rPr>
          <w:rFonts w:hint="eastAsia" w:ascii="仿宋" w:hAnsi="仿宋" w:eastAsia="仿宋" w:cs="Arial"/>
          <w:kern w:val="0"/>
          <w:sz w:val="32"/>
          <w:szCs w:val="32"/>
        </w:rPr>
      </w:pPr>
      <w:r>
        <w:rPr>
          <w:rFonts w:hint="eastAsia" w:ascii="仿宋" w:hAnsi="仿宋" w:eastAsia="仿宋" w:cs="Arial"/>
          <w:kern w:val="0"/>
          <w:sz w:val="32"/>
          <w:szCs w:val="32"/>
        </w:rPr>
        <w:t>上述条款涉嫌违反《公平竞争审查制度实施细则（暂行）》第十六条第二项关于“</w:t>
      </w:r>
      <w:r>
        <w:rPr>
          <w:rFonts w:ascii="仿宋" w:hAnsi="仿宋" w:eastAsia="仿宋" w:cs="Arial"/>
          <w:kern w:val="0"/>
          <w:sz w:val="32"/>
          <w:szCs w:val="32"/>
        </w:rPr>
        <w:t>安排财政支出一般不得与企业缴纳的税收或非税收入挂钩</w:t>
      </w:r>
      <w:r>
        <w:rPr>
          <w:rFonts w:hint="eastAsia" w:ascii="仿宋" w:hAnsi="仿宋" w:eastAsia="仿宋" w:cs="Arial"/>
          <w:kern w:val="0"/>
          <w:sz w:val="32"/>
          <w:szCs w:val="32"/>
        </w:rPr>
        <w:t>”的规定。虽然市发改委称上述条款经自我审查，提出修改意见，但评估工作组要求其提供修改文件及公示信息时，市发改委不能提供，称在实际执行中未使用上述二条政策依据。同时提供市发改委向市政府《关于批准鄂州市2020年市级财政预算服务业发展引导资金使用方案的请示》及市财政局、市政府批复文件。</w:t>
      </w:r>
    </w:p>
    <w:p>
      <w:pPr>
        <w:widowControl/>
        <w:shd w:val="clear" w:color="auto" w:fill="FFFFFF"/>
        <w:ind w:firstLine="672" w:firstLineChars="210"/>
        <w:jc w:val="left"/>
        <w:rPr>
          <w:rFonts w:hint="eastAsia" w:ascii="仿宋" w:hAnsi="仿宋" w:eastAsia="仿宋" w:cs="Arial"/>
          <w:color w:val="auto"/>
          <w:kern w:val="0"/>
          <w:sz w:val="32"/>
          <w:szCs w:val="32"/>
        </w:rPr>
      </w:pPr>
      <w:r>
        <w:rPr>
          <w:rFonts w:hint="eastAsia" w:ascii="仿宋" w:hAnsi="仿宋" w:eastAsia="仿宋" w:cs="Arial"/>
          <w:kern w:val="0"/>
          <w:sz w:val="32"/>
          <w:szCs w:val="32"/>
        </w:rPr>
        <w:t>市发改委在执行《市人民政府关于促进服务业发展若干政策措施的意见》时虽然意识到部分条款违规，但未通过合法程序进行修订，</w:t>
      </w:r>
      <w:r>
        <w:rPr>
          <w:rFonts w:hint="eastAsia" w:ascii="仿宋" w:hAnsi="仿宋" w:eastAsia="仿宋" w:cs="Arial"/>
          <w:color w:val="auto"/>
          <w:kern w:val="0"/>
          <w:sz w:val="32"/>
          <w:szCs w:val="32"/>
        </w:rPr>
        <w:t>违反了国务院办公厅《关于加强行政规范性文件制定和监督管理工作的通知》中：“及时发现并纠正违法文件。行政规范性文件经审议通过或批准后，由制定机关通过政府公报、政府网站、政务新媒体、报刊、广播、电视、公示栏等公开向社会发布，不得以内部文件形式印发执行，未经公布的行政规范性文件不得作为行政管理依据”的规定。</w:t>
      </w:r>
    </w:p>
    <w:p>
      <w:pPr>
        <w:widowControl/>
        <w:shd w:val="clear" w:color="auto" w:fill="FFFFFF"/>
        <w:ind w:firstLine="672" w:firstLineChars="210"/>
        <w:jc w:val="left"/>
        <w:rPr>
          <w:rFonts w:ascii="仿宋" w:hAnsi="仿宋" w:eastAsia="仿宋" w:cs="Arial"/>
          <w:kern w:val="0"/>
          <w:sz w:val="32"/>
          <w:szCs w:val="32"/>
        </w:rPr>
      </w:pPr>
      <w:r>
        <w:rPr>
          <w:rFonts w:hint="eastAsia" w:ascii="仿宋" w:hAnsi="仿宋" w:eastAsia="仿宋" w:cs="Arial"/>
          <w:kern w:val="0"/>
          <w:sz w:val="32"/>
          <w:szCs w:val="32"/>
          <w:lang w:val="en-US" w:eastAsia="zh-CN"/>
        </w:rPr>
        <w:t>整改</w:t>
      </w:r>
      <w:r>
        <w:rPr>
          <w:rFonts w:hint="eastAsia" w:ascii="仿宋" w:hAnsi="仿宋" w:eastAsia="仿宋" w:cs="Arial"/>
          <w:kern w:val="0"/>
          <w:sz w:val="32"/>
          <w:szCs w:val="32"/>
        </w:rPr>
        <w:t>建议</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市发改委及时报请市政府修订违规条款，并公开向社会</w:t>
      </w:r>
      <w:r>
        <w:rPr>
          <w:rFonts w:hint="eastAsia" w:ascii="仿宋" w:hAnsi="仿宋" w:eastAsia="仿宋" w:cs="Arial"/>
          <w:kern w:val="0"/>
          <w:sz w:val="32"/>
          <w:szCs w:val="32"/>
          <w:lang w:val="en-US" w:eastAsia="zh-CN"/>
        </w:rPr>
        <w:t>公</w:t>
      </w:r>
      <w:r>
        <w:rPr>
          <w:rFonts w:hint="eastAsia" w:ascii="仿宋" w:hAnsi="仿宋" w:eastAsia="仿宋" w:cs="Arial"/>
          <w:kern w:val="0"/>
          <w:sz w:val="32"/>
          <w:szCs w:val="32"/>
        </w:rPr>
        <w:t>布。</w:t>
      </w:r>
    </w:p>
    <w:p>
      <w:pPr>
        <w:widowControl/>
        <w:shd w:val="clear" w:color="auto" w:fill="FFFFFF"/>
        <w:ind w:firstLine="2920" w:firstLineChars="909"/>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七</w:t>
      </w:r>
      <w:r>
        <w:rPr>
          <w:rFonts w:hint="eastAsia" w:ascii="黑体" w:hAnsi="黑体" w:eastAsia="黑体" w:cs="黑体"/>
          <w:b/>
          <w:kern w:val="0"/>
          <w:sz w:val="32"/>
          <w:szCs w:val="32"/>
        </w:rPr>
        <w:t>、评估结论</w:t>
      </w:r>
    </w:p>
    <w:p>
      <w:pPr>
        <w:widowControl/>
        <w:shd w:val="clear" w:color="auto" w:fill="FFFFFF"/>
        <w:ind w:firstLine="672" w:firstLineChars="210"/>
        <w:rPr>
          <w:rFonts w:hint="eastAsia" w:ascii="仿宋" w:hAnsi="仿宋" w:eastAsia="仿宋" w:cs="仿宋"/>
          <w:i w:val="0"/>
          <w:caps w:val="0"/>
          <w:color w:val="auto"/>
          <w:spacing w:val="0"/>
          <w:sz w:val="32"/>
          <w:szCs w:val="32"/>
          <w:vertAlign w:val="baseline"/>
          <w:lang w:val="en-US" w:eastAsia="zh-CN"/>
        </w:rPr>
      </w:pPr>
      <w:r>
        <w:rPr>
          <w:rFonts w:hint="eastAsia" w:ascii="仿宋" w:hAnsi="仿宋" w:eastAsia="仿宋" w:cs="仿宋"/>
          <w:b w:val="0"/>
          <w:bCs/>
          <w:kern w:val="0"/>
          <w:sz w:val="32"/>
          <w:szCs w:val="32"/>
        </w:rPr>
        <w:t>评估结果显示，</w:t>
      </w:r>
      <w:r>
        <w:rPr>
          <w:rFonts w:hint="eastAsia" w:ascii="仿宋" w:hAnsi="仿宋" w:eastAsia="仿宋" w:cs="仿宋"/>
          <w:b w:val="0"/>
          <w:bCs/>
          <w:color w:val="auto"/>
          <w:kern w:val="0"/>
          <w:sz w:val="32"/>
          <w:szCs w:val="32"/>
          <w:lang w:val="en-US" w:eastAsia="zh-CN"/>
        </w:rPr>
        <w:t>鄂州市</w:t>
      </w:r>
      <w:r>
        <w:rPr>
          <w:rFonts w:hint="eastAsia" w:ascii="仿宋" w:hAnsi="仿宋" w:eastAsia="仿宋" w:cs="仿宋"/>
          <w:b w:val="0"/>
          <w:bCs/>
          <w:color w:val="auto"/>
          <w:kern w:val="0"/>
          <w:sz w:val="32"/>
          <w:szCs w:val="32"/>
        </w:rPr>
        <w:t>公平竞争审查工作自施行以来取得了一定成效，</w:t>
      </w:r>
      <w:r>
        <w:rPr>
          <w:rFonts w:hint="eastAsia" w:ascii="仿宋" w:hAnsi="仿宋" w:eastAsia="仿宋" w:cs="仿宋"/>
          <w:b w:val="0"/>
          <w:bCs/>
          <w:color w:val="auto"/>
          <w:kern w:val="0"/>
          <w:sz w:val="32"/>
          <w:szCs w:val="32"/>
          <w:lang w:val="en-US" w:eastAsia="zh-CN"/>
        </w:rPr>
        <w:t>公平竞争审查制度的实施基本实现全覆盖，政府部门</w:t>
      </w:r>
      <w:r>
        <w:rPr>
          <w:rFonts w:hint="eastAsia" w:ascii="仿宋" w:hAnsi="仿宋" w:eastAsia="仿宋" w:cs="仿宋"/>
          <w:b w:val="0"/>
          <w:bCs/>
          <w:color w:val="auto"/>
          <w:kern w:val="0"/>
          <w:sz w:val="32"/>
          <w:szCs w:val="32"/>
        </w:rPr>
        <w:t>审查机制初步建成</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社会竞争意识逐步增强，存量清理、增量审查涉及市场主体经济活动的政策措施效果显现，</w:t>
      </w:r>
      <w:r>
        <w:rPr>
          <w:rFonts w:hint="eastAsia" w:ascii="仿宋" w:hAnsi="仿宋" w:eastAsia="仿宋" w:cs="仿宋"/>
          <w:i w:val="0"/>
          <w:caps w:val="0"/>
          <w:color w:val="auto"/>
          <w:spacing w:val="0"/>
          <w:sz w:val="32"/>
          <w:szCs w:val="32"/>
          <w:vertAlign w:val="baseline"/>
        </w:rPr>
        <w:t>在预防和纠正行政性垄断、维护市场公平竞争、</w:t>
      </w:r>
      <w:r>
        <w:rPr>
          <w:rFonts w:hint="eastAsia" w:ascii="仿宋" w:hAnsi="仿宋" w:eastAsia="仿宋" w:cs="仿宋"/>
          <w:i w:val="0"/>
          <w:caps w:val="0"/>
          <w:color w:val="auto"/>
          <w:spacing w:val="0"/>
          <w:sz w:val="32"/>
          <w:szCs w:val="32"/>
          <w:vertAlign w:val="baseline"/>
          <w:lang w:val="en-US" w:eastAsia="zh-CN"/>
        </w:rPr>
        <w:t>优化营商环境，</w:t>
      </w:r>
      <w:r>
        <w:rPr>
          <w:rFonts w:hint="eastAsia" w:ascii="仿宋" w:hAnsi="仿宋" w:eastAsia="仿宋" w:cs="仿宋"/>
          <w:i w:val="0"/>
          <w:caps w:val="0"/>
          <w:color w:val="auto"/>
          <w:spacing w:val="0"/>
          <w:sz w:val="32"/>
          <w:szCs w:val="32"/>
          <w:vertAlign w:val="baseline"/>
        </w:rPr>
        <w:t>促进经济高质量发展等方面的作用</w:t>
      </w:r>
      <w:r>
        <w:rPr>
          <w:rFonts w:hint="eastAsia" w:ascii="仿宋" w:hAnsi="仿宋" w:eastAsia="仿宋" w:cs="仿宋"/>
          <w:i w:val="0"/>
          <w:caps w:val="0"/>
          <w:color w:val="auto"/>
          <w:spacing w:val="0"/>
          <w:sz w:val="32"/>
          <w:szCs w:val="32"/>
          <w:vertAlign w:val="baseline"/>
          <w:lang w:val="en-US" w:eastAsia="zh-CN"/>
        </w:rPr>
        <w:t>正在凸显。</w:t>
      </w:r>
    </w:p>
    <w:p>
      <w:pPr>
        <w:widowControl/>
        <w:shd w:val="clear" w:color="auto" w:fill="FFFFFF"/>
        <w:ind w:firstLine="672" w:firstLineChars="210"/>
        <w:rPr>
          <w:rFonts w:ascii="仿宋" w:hAnsi="仿宋" w:eastAsia="仿宋" w:cs="宋体"/>
          <w:b w:val="0"/>
          <w:bCs/>
          <w:color w:val="auto"/>
          <w:kern w:val="0"/>
          <w:sz w:val="32"/>
          <w:szCs w:val="32"/>
        </w:rPr>
      </w:pPr>
      <w:r>
        <w:rPr>
          <w:rFonts w:hint="eastAsia" w:ascii="仿宋" w:hAnsi="仿宋" w:eastAsia="仿宋" w:cs="仿宋"/>
          <w:b w:val="0"/>
          <w:bCs/>
          <w:color w:val="auto"/>
          <w:kern w:val="0"/>
          <w:sz w:val="32"/>
          <w:szCs w:val="32"/>
        </w:rPr>
        <w:t>但一定数量的</w:t>
      </w:r>
      <w:r>
        <w:rPr>
          <w:rFonts w:hint="eastAsia" w:ascii="仿宋" w:hAnsi="仿宋" w:eastAsia="仿宋" w:cs="仿宋"/>
          <w:b w:val="0"/>
          <w:bCs/>
          <w:color w:val="auto"/>
          <w:kern w:val="0"/>
          <w:sz w:val="32"/>
          <w:szCs w:val="32"/>
          <w:lang w:val="en-US" w:eastAsia="zh-CN"/>
        </w:rPr>
        <w:t>政府部门领导和审查人员对公平竞争审查的认识和重视程度还有差距，</w:t>
      </w:r>
      <w:r>
        <w:rPr>
          <w:rFonts w:hint="eastAsia" w:ascii="仿宋" w:hAnsi="仿宋" w:eastAsia="仿宋" w:cs="宋体"/>
          <w:b w:val="0"/>
          <w:bCs/>
          <w:color w:val="auto"/>
          <w:kern w:val="0"/>
          <w:sz w:val="32"/>
          <w:szCs w:val="32"/>
        </w:rPr>
        <w:t>审查机制流于形式，审查人员专业素质不</w:t>
      </w:r>
      <w:r>
        <w:rPr>
          <w:rFonts w:hint="eastAsia" w:ascii="仿宋" w:hAnsi="仿宋" w:eastAsia="仿宋" w:cs="宋体"/>
          <w:b w:val="0"/>
          <w:bCs/>
          <w:color w:val="auto"/>
          <w:kern w:val="0"/>
          <w:sz w:val="32"/>
          <w:szCs w:val="32"/>
          <w:lang w:val="en-US" w:eastAsia="zh-CN"/>
        </w:rPr>
        <w:t>强</w:t>
      </w:r>
      <w:r>
        <w:rPr>
          <w:rFonts w:hint="eastAsia" w:ascii="仿宋" w:hAnsi="仿宋" w:eastAsia="仿宋" w:cs="宋体"/>
          <w:b w:val="0"/>
          <w:bCs/>
          <w:color w:val="auto"/>
          <w:kern w:val="0"/>
          <w:sz w:val="32"/>
          <w:szCs w:val="32"/>
          <w:lang w:eastAsia="zh-CN"/>
        </w:rPr>
        <w:t>，</w:t>
      </w:r>
      <w:r>
        <w:rPr>
          <w:rFonts w:hint="eastAsia" w:ascii="仿宋" w:hAnsi="仿宋" w:eastAsia="仿宋" w:cs="宋体"/>
          <w:b w:val="0"/>
          <w:bCs/>
          <w:color w:val="auto"/>
          <w:kern w:val="0"/>
          <w:sz w:val="32"/>
          <w:szCs w:val="32"/>
          <w:lang w:val="en-US" w:eastAsia="zh-CN"/>
        </w:rPr>
        <w:t>审查质量不高，审查范围覆盖不到位，制度的刚性约束性不强，公平竞争意识、公平竞争文化还需要加强，部分领域排除、限制竞争的政策措施还比较突出，如限定经营、购买、使用特定经营者提供的商品和服务；违反法律法规和国务院的规定，安排财政支出与企业税收挂钩等。</w:t>
      </w:r>
    </w:p>
    <w:p>
      <w:pPr>
        <w:widowControl/>
        <w:ind w:firstLine="2920" w:firstLineChars="909"/>
        <w:jc w:val="left"/>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八</w:t>
      </w:r>
      <w:r>
        <w:rPr>
          <w:rFonts w:hint="eastAsia" w:ascii="黑体" w:hAnsi="黑体" w:eastAsia="黑体" w:cs="黑体"/>
          <w:b/>
          <w:kern w:val="0"/>
          <w:sz w:val="32"/>
          <w:szCs w:val="32"/>
        </w:rPr>
        <w:t>、主要建议</w:t>
      </w:r>
    </w:p>
    <w:p>
      <w:pPr>
        <w:widowControl/>
        <w:ind w:firstLine="705" w:firstLineChars="210"/>
        <w:jc w:val="left"/>
        <w:rPr>
          <w:rFonts w:hint="eastAsia" w:ascii="仿宋" w:hAnsi="仿宋" w:eastAsia="仿宋" w:cs="仿宋"/>
          <w:color w:val="auto"/>
          <w:kern w:val="0"/>
          <w:sz w:val="32"/>
          <w:szCs w:val="32"/>
        </w:rPr>
      </w:pPr>
      <w:bookmarkStart w:id="1" w:name="_GoBack"/>
      <w:r>
        <w:rPr>
          <w:rFonts w:hint="eastAsia" w:ascii="仿宋" w:hAnsi="仿宋" w:eastAsia="仿宋" w:cs="仿宋"/>
          <w:b w:val="0"/>
          <w:i w:val="0"/>
          <w:caps w:val="0"/>
          <w:color w:val="auto"/>
          <w:spacing w:val="8"/>
          <w:sz w:val="32"/>
          <w:szCs w:val="32"/>
          <w:shd w:val="clear" w:fill="FFFFFF"/>
        </w:rPr>
        <w:t>公平竞争审查制度的建立，是我国就市场竞争问题做出的重大顶层制度安排，对于规范政府行为，保障市场公平竞争，促进实现创新驱动发展和经济持续健康发展具有重要意义</w:t>
      </w:r>
      <w:r>
        <w:rPr>
          <w:rFonts w:hint="eastAsia" w:ascii="仿宋" w:hAnsi="仿宋" w:eastAsia="仿宋" w:cs="仿宋"/>
          <w:b w:val="0"/>
          <w:i w:val="0"/>
          <w:caps w:val="0"/>
          <w:color w:val="auto"/>
          <w:spacing w:val="8"/>
          <w:sz w:val="32"/>
          <w:szCs w:val="32"/>
          <w:shd w:val="clear" w:fill="FFFFFF"/>
          <w:lang w:eastAsia="zh-CN"/>
        </w:rPr>
        <w:t>。</w:t>
      </w:r>
      <w:r>
        <w:rPr>
          <w:rFonts w:hint="eastAsia" w:ascii="仿宋" w:hAnsi="仿宋" w:eastAsia="仿宋" w:cs="仿宋"/>
          <w:b w:val="0"/>
          <w:i w:val="0"/>
          <w:caps w:val="0"/>
          <w:color w:val="auto"/>
          <w:spacing w:val="8"/>
          <w:sz w:val="32"/>
          <w:szCs w:val="32"/>
          <w:shd w:val="clear" w:fill="FFFFFF"/>
        </w:rPr>
        <w:t>党的十九届四中全会强调，“完善公平竞争制度”“强化竞争政策基础地位”。</w:t>
      </w:r>
      <w:r>
        <w:rPr>
          <w:rFonts w:hint="eastAsia" w:ascii="仿宋" w:hAnsi="仿宋" w:eastAsia="仿宋" w:cs="仿宋"/>
          <w:color w:val="auto"/>
          <w:kern w:val="0"/>
          <w:sz w:val="32"/>
          <w:szCs w:val="32"/>
        </w:rPr>
        <w:t>党的十九届五中全会审议通过的“十四五”规划（建议）中明确要求：“打破行业垄断和地方保护，健全公平竞争审查机制”。</w:t>
      </w:r>
      <w:r>
        <w:rPr>
          <w:rFonts w:hint="eastAsia" w:ascii="仿宋" w:hAnsi="仿宋" w:eastAsia="仿宋" w:cs="仿宋"/>
          <w:b w:val="0"/>
          <w:i w:val="0"/>
          <w:caps w:val="0"/>
          <w:color w:val="auto"/>
          <w:spacing w:val="8"/>
          <w:sz w:val="32"/>
          <w:szCs w:val="32"/>
          <w:shd w:val="clear" w:fill="FFFFFF"/>
        </w:rPr>
        <w:t>《中共中央国务院关于新时代加快完善社会主义市场经济体制的意见》要求，“强化竞争政策基础地位，落实公平竞争审查制度，加强和改进反垄断和反不正当竞争执法”。</w:t>
      </w:r>
      <w:r>
        <w:rPr>
          <w:rFonts w:hint="eastAsia" w:ascii="仿宋" w:hAnsi="仿宋" w:eastAsia="仿宋" w:cs="仿宋"/>
          <w:color w:val="auto"/>
          <w:kern w:val="0"/>
          <w:sz w:val="32"/>
          <w:szCs w:val="32"/>
        </w:rPr>
        <w:t>因此，</w:t>
      </w:r>
      <w:r>
        <w:rPr>
          <w:rFonts w:hint="eastAsia" w:ascii="仿宋" w:hAnsi="仿宋" w:eastAsia="仿宋" w:cs="仿宋"/>
          <w:color w:val="auto"/>
          <w:kern w:val="0"/>
          <w:sz w:val="32"/>
          <w:szCs w:val="32"/>
          <w:lang w:val="en-US" w:eastAsia="zh-CN"/>
        </w:rPr>
        <w:t>全面落实</w:t>
      </w:r>
      <w:r>
        <w:rPr>
          <w:rStyle w:val="10"/>
          <w:rFonts w:hint="eastAsia" w:ascii="仿宋" w:hAnsi="仿宋" w:eastAsia="仿宋" w:cs="仿宋"/>
          <w:b w:val="0"/>
          <w:bCs w:val="0"/>
          <w:i w:val="0"/>
          <w:caps w:val="0"/>
          <w:color w:val="auto"/>
          <w:spacing w:val="8"/>
          <w:sz w:val="32"/>
          <w:szCs w:val="32"/>
          <w:shd w:val="clear" w:fill="FFFFFF"/>
        </w:rPr>
        <w:t>公平竞争审查</w:t>
      </w:r>
      <w:r>
        <w:rPr>
          <w:rStyle w:val="10"/>
          <w:rFonts w:hint="eastAsia" w:ascii="仿宋" w:hAnsi="仿宋" w:eastAsia="仿宋" w:cs="仿宋"/>
          <w:b w:val="0"/>
          <w:bCs w:val="0"/>
          <w:i w:val="0"/>
          <w:caps w:val="0"/>
          <w:color w:val="auto"/>
          <w:spacing w:val="8"/>
          <w:sz w:val="32"/>
          <w:szCs w:val="32"/>
          <w:shd w:val="clear" w:fill="FFFFFF"/>
          <w:lang w:val="en-US" w:eastAsia="zh-CN"/>
        </w:rPr>
        <w:t>制度，</w:t>
      </w:r>
      <w:r>
        <w:rPr>
          <w:rStyle w:val="10"/>
          <w:rFonts w:hint="eastAsia" w:ascii="仿宋" w:hAnsi="仿宋" w:eastAsia="仿宋" w:cs="仿宋"/>
          <w:b w:val="0"/>
          <w:bCs w:val="0"/>
          <w:i w:val="0"/>
          <w:caps w:val="0"/>
          <w:color w:val="auto"/>
          <w:spacing w:val="8"/>
          <w:sz w:val="32"/>
          <w:szCs w:val="32"/>
          <w:shd w:val="clear" w:fill="FFFFFF"/>
        </w:rPr>
        <w:t>从源头上规范政府相关行为，防止行政性垄断，</w:t>
      </w:r>
      <w:r>
        <w:rPr>
          <w:rFonts w:hint="eastAsia" w:ascii="仿宋" w:hAnsi="仿宋" w:eastAsia="仿宋" w:cs="宋体"/>
          <w:bCs/>
          <w:color w:val="auto"/>
          <w:kern w:val="0"/>
          <w:sz w:val="32"/>
          <w:szCs w:val="32"/>
        </w:rPr>
        <w:t>营造公平竞争的制度环境和市场化、法治化、国际化的营商环境</w:t>
      </w:r>
      <w:r>
        <w:rPr>
          <w:rFonts w:hint="eastAsia" w:ascii="仿宋" w:hAnsi="仿宋" w:eastAsia="仿宋" w:cs="宋体"/>
          <w:bCs/>
          <w:color w:val="auto"/>
          <w:kern w:val="0"/>
          <w:sz w:val="32"/>
          <w:szCs w:val="32"/>
          <w:lang w:eastAsia="zh-CN"/>
        </w:rPr>
        <w:t>，</w:t>
      </w:r>
      <w:r>
        <w:rPr>
          <w:rFonts w:hint="eastAsia" w:ascii="仿宋" w:hAnsi="仿宋" w:eastAsia="仿宋" w:cs="宋体"/>
          <w:bCs/>
          <w:color w:val="auto"/>
          <w:kern w:val="0"/>
          <w:sz w:val="32"/>
          <w:szCs w:val="32"/>
          <w:lang w:val="en-US" w:eastAsia="zh-CN"/>
        </w:rPr>
        <w:t>对于鄂州市加快融于国内国际双循环及“三城一化”建设</w:t>
      </w:r>
      <w:r>
        <w:rPr>
          <w:rStyle w:val="10"/>
          <w:rFonts w:hint="eastAsia" w:ascii="仿宋" w:hAnsi="仿宋" w:eastAsia="仿宋" w:cs="仿宋"/>
          <w:b w:val="0"/>
          <w:bCs w:val="0"/>
          <w:i w:val="0"/>
          <w:caps w:val="0"/>
          <w:color w:val="auto"/>
          <w:spacing w:val="8"/>
          <w:sz w:val="32"/>
          <w:szCs w:val="32"/>
          <w:shd w:val="clear" w:fill="FFFFFF"/>
          <w:lang w:eastAsia="zh-CN"/>
        </w:rPr>
        <w:t>，</w:t>
      </w:r>
      <w:r>
        <w:rPr>
          <w:rStyle w:val="10"/>
          <w:rFonts w:hint="eastAsia" w:ascii="仿宋" w:hAnsi="仿宋" w:eastAsia="仿宋" w:cs="仿宋"/>
          <w:b w:val="0"/>
          <w:bCs w:val="0"/>
          <w:i w:val="0"/>
          <w:caps w:val="0"/>
          <w:color w:val="auto"/>
          <w:spacing w:val="8"/>
          <w:sz w:val="32"/>
          <w:szCs w:val="32"/>
          <w:shd w:val="clear" w:fill="FFFFFF"/>
          <w:lang w:val="en-US" w:eastAsia="zh-CN"/>
        </w:rPr>
        <w:t>具有紧迫性和重要性。结合本次评估情况，</w:t>
      </w:r>
      <w:r>
        <w:rPr>
          <w:rFonts w:hint="eastAsia" w:ascii="仿宋" w:hAnsi="仿宋" w:eastAsia="仿宋" w:cs="仿宋"/>
          <w:color w:val="auto"/>
          <w:kern w:val="0"/>
          <w:sz w:val="32"/>
          <w:szCs w:val="32"/>
        </w:rPr>
        <w:t>建议如下：</w:t>
      </w:r>
    </w:p>
    <w:bookmarkEnd w:id="1"/>
    <w:p>
      <w:pPr>
        <w:widowControl/>
        <w:ind w:firstLine="517" w:firstLineChars="161"/>
        <w:jc w:val="left"/>
        <w:rPr>
          <w:rFonts w:ascii="仿宋" w:hAnsi="仿宋" w:eastAsia="仿宋" w:cs="宋体"/>
          <w:b/>
          <w:bCs/>
          <w:kern w:val="0"/>
          <w:sz w:val="32"/>
          <w:szCs w:val="32"/>
        </w:rPr>
      </w:pPr>
      <w:r>
        <w:rPr>
          <w:rFonts w:hint="eastAsia" w:ascii="仿宋" w:hAnsi="仿宋" w:eastAsia="仿宋" w:cs="宋体"/>
          <w:b/>
          <w:bCs/>
          <w:kern w:val="0"/>
          <w:sz w:val="32"/>
          <w:szCs w:val="32"/>
        </w:rPr>
        <w:t>（一）推进公平竞争审查制度落实</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根据评估所反馈情况，虽然各评估对象公平竞争审查制度已初步建立，但仍要进一步统一思想、提高认识，从推动鄂州全域经济发展的高度深刻理解公平竞争审查的重要意义。</w:t>
      </w:r>
    </w:p>
    <w:p>
      <w:pPr>
        <w:widowControl/>
        <w:ind w:firstLine="675" w:firstLineChars="210"/>
        <w:jc w:val="left"/>
        <w:rPr>
          <w:rFonts w:ascii="仿宋" w:hAnsi="仿宋" w:eastAsia="仿宋" w:cs="宋体"/>
          <w:bCs/>
          <w:kern w:val="0"/>
          <w:sz w:val="32"/>
          <w:szCs w:val="32"/>
        </w:rPr>
      </w:pPr>
      <w:r>
        <w:rPr>
          <w:rFonts w:hint="eastAsia" w:ascii="仿宋" w:hAnsi="仿宋" w:eastAsia="仿宋" w:cs="宋体"/>
          <w:b/>
          <w:bCs/>
          <w:kern w:val="0"/>
          <w:sz w:val="32"/>
          <w:szCs w:val="32"/>
        </w:rPr>
        <w:t>一是做实做强公平竞争审查制度，让制度落地生根。</w:t>
      </w:r>
      <w:r>
        <w:rPr>
          <w:rFonts w:hint="eastAsia" w:ascii="仿宋" w:hAnsi="仿宋" w:eastAsia="仿宋" w:cs="宋体"/>
          <w:kern w:val="0"/>
          <w:sz w:val="32"/>
          <w:szCs w:val="32"/>
        </w:rPr>
        <w:t>评估对象要高度重视公平竞争审查工作，顺应机构改革，及时调整公平竞争审查机构、人员组成，充分发挥顶层设计和重大问题协调职能作用，特别是要加强领导干部的公平竞争审查意识，形成全市上下贯通的领导体制和推进合力。</w:t>
      </w:r>
      <w:r>
        <w:rPr>
          <w:rFonts w:hint="eastAsia" w:ascii="仿宋" w:hAnsi="仿宋" w:eastAsia="仿宋" w:cs="宋体"/>
          <w:bCs/>
          <w:kern w:val="0"/>
          <w:sz w:val="32"/>
          <w:szCs w:val="32"/>
        </w:rPr>
        <w:t>让社会公众更好地了解、支持和监督公平竞争审查工作，提升其执行力、公信力、权威性。</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要进一步支持后疫情时期企业生产经营活动，为各类市场主体生产经营营造公平的政策环境，保障经济平稳健康发展，促进统一开放、竞争有序的市场体系建设。</w:t>
      </w:r>
    </w:p>
    <w:p>
      <w:pPr>
        <w:widowControl/>
        <w:ind w:firstLine="675" w:firstLineChars="210"/>
        <w:jc w:val="left"/>
        <w:rPr>
          <w:rFonts w:ascii="仿宋" w:hAnsi="仿宋" w:eastAsia="仿宋" w:cs="宋体"/>
          <w:bCs/>
          <w:kern w:val="0"/>
          <w:sz w:val="32"/>
          <w:szCs w:val="32"/>
        </w:rPr>
      </w:pPr>
      <w:r>
        <w:rPr>
          <w:rFonts w:hint="eastAsia" w:ascii="仿宋" w:hAnsi="仿宋" w:eastAsia="仿宋" w:cs="宋体"/>
          <w:b/>
          <w:bCs/>
          <w:kern w:val="0"/>
          <w:sz w:val="32"/>
          <w:szCs w:val="32"/>
        </w:rPr>
        <w:t>二是成立专家咨询委员会，提高审查质量。</w:t>
      </w:r>
      <w:r>
        <w:rPr>
          <w:rFonts w:hint="eastAsia" w:ascii="仿宋" w:hAnsi="仿宋" w:eastAsia="仿宋" w:cs="宋体"/>
          <w:bCs/>
          <w:kern w:val="0"/>
          <w:sz w:val="32"/>
          <w:szCs w:val="32"/>
        </w:rPr>
        <w:t>为提高公平竞争审查的质量和水平，可成立公平竞争审查专家咨询委员会，从市人大法工委、市中级法院、市司法局、市发改委、高等院校、律师事务所聘请10名公平竞争领域法律专家，对涉及公平竞争审查疑难复杂政策措施（案件）由起草机构初审，法规部门复核，报专家咨询委员会进行集体审查的三级审查制度。</w:t>
      </w:r>
    </w:p>
    <w:p>
      <w:pPr>
        <w:widowControl/>
        <w:shd w:val="clear" w:color="auto" w:fill="FFFFFF"/>
        <w:ind w:firstLine="675" w:firstLineChars="210"/>
        <w:rPr>
          <w:rFonts w:ascii="仿宋" w:hAnsi="仿宋" w:eastAsia="仿宋" w:cs="宋体"/>
          <w:b/>
          <w:bCs/>
          <w:kern w:val="0"/>
          <w:sz w:val="32"/>
          <w:szCs w:val="32"/>
        </w:rPr>
      </w:pPr>
      <w:r>
        <w:rPr>
          <w:rFonts w:hint="eastAsia" w:ascii="仿宋" w:hAnsi="仿宋" w:eastAsia="仿宋" w:cs="宋体"/>
          <w:b/>
          <w:bCs/>
          <w:kern w:val="0"/>
          <w:sz w:val="32"/>
          <w:szCs w:val="32"/>
        </w:rPr>
        <w:t>三是将公平竞争审查与合法性审查并重，探索建立考核评价机制，积极推动将公平竞争审查纳入政府部门督查范围，实行绩效考核评价。</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国务院《重大行政决策程序暂行条例》规定：决策草案涉及市场主体经济活动的，应当包含公平竞争审查，该规定将公平竞争与合法性列为同等地位。实践中大多数评估对象将公平竞争审查作为合法性审查的一个子项的现状亟待纠正。</w:t>
      </w:r>
    </w:p>
    <w:p>
      <w:pPr>
        <w:widowControl/>
        <w:ind w:firstLine="672" w:firstLineChars="210"/>
        <w:jc w:val="left"/>
        <w:rPr>
          <w:rFonts w:ascii="仿宋" w:hAnsi="仿宋" w:eastAsia="仿宋" w:cs="宋体"/>
          <w:bCs/>
          <w:kern w:val="0"/>
          <w:sz w:val="32"/>
          <w:szCs w:val="32"/>
        </w:rPr>
      </w:pPr>
      <w:r>
        <w:rPr>
          <w:rFonts w:hint="eastAsia" w:ascii="仿宋" w:hAnsi="仿宋" w:eastAsia="仿宋" w:cs="宋体"/>
          <w:kern w:val="0"/>
          <w:sz w:val="32"/>
          <w:szCs w:val="32"/>
        </w:rPr>
        <w:t>完善考核机制，推动将公平竞争审查全面纳入政府部门绩效考核范围，促进各级政府部门优化内部审查机制，严格履行审查程序，切实提高审查质量。</w:t>
      </w:r>
    </w:p>
    <w:p>
      <w:pPr>
        <w:widowControl/>
        <w:shd w:val="clear" w:color="auto" w:fill="FFFFFF"/>
        <w:ind w:firstLine="675" w:firstLineChars="210"/>
        <w:rPr>
          <w:rFonts w:ascii="仿宋" w:hAnsi="仿宋" w:eastAsia="仿宋" w:cs="宋体"/>
          <w:b/>
          <w:bCs/>
          <w:kern w:val="0"/>
          <w:sz w:val="32"/>
          <w:szCs w:val="32"/>
        </w:rPr>
      </w:pPr>
      <w:r>
        <w:rPr>
          <w:rFonts w:hint="eastAsia" w:ascii="仿宋" w:hAnsi="仿宋" w:eastAsia="仿宋" w:cs="宋体"/>
          <w:b/>
          <w:bCs/>
          <w:kern w:val="0"/>
          <w:sz w:val="32"/>
          <w:szCs w:val="32"/>
        </w:rPr>
        <w:t>四是建立健全清理长效机制</w:t>
      </w:r>
    </w:p>
    <w:p>
      <w:pPr>
        <w:ind w:firstLine="640"/>
        <w:rPr>
          <w:rFonts w:ascii="仿宋" w:hAnsi="仿宋" w:eastAsia="仿宋" w:cs="宋体"/>
          <w:bCs/>
          <w:kern w:val="0"/>
          <w:sz w:val="32"/>
          <w:szCs w:val="32"/>
        </w:rPr>
      </w:pPr>
      <w:r>
        <w:rPr>
          <w:rFonts w:hint="eastAsia" w:ascii="仿宋" w:hAnsi="仿宋" w:eastAsia="仿宋" w:cs="宋体"/>
          <w:bCs/>
          <w:kern w:val="0"/>
          <w:sz w:val="32"/>
          <w:szCs w:val="32"/>
        </w:rPr>
        <w:t>评估对象在2020年6月根据国家市场监管总局等四部门《关于开展妨碍统一市场和公平竞争的政策措施清理工作的通知》要求，组织对2019年12月31日前制定的规章、规范性文件和其他政策措施进行清理，但评估工作组经随机抽查发现，在应纳入清理范围的政策措施中仍有6份涉嫌违反公平竞争审查标准，说明清理存量政策措施工作任重道远。需要建立健全定期评估、动态清理长效机制，对已出台的存量政策措施，在做好公平竞争审查的基础上，应定期进行评估清理，可以每两年组织一次，在本地选择一至两个区或部门开展公平竞争审查交叉互评工作；或者组织一次公平竞争审查清理“回头看”，及时发现和纠正工作运行中产生的排除、限制竞争问题。</w:t>
      </w:r>
    </w:p>
    <w:p>
      <w:pPr>
        <w:ind w:firstLine="643"/>
        <w:rPr>
          <w:rFonts w:ascii="仿宋" w:hAnsi="仿宋" w:eastAsia="仿宋" w:cs="宋体"/>
          <w:b/>
          <w:bCs/>
          <w:kern w:val="0"/>
          <w:sz w:val="32"/>
          <w:szCs w:val="32"/>
        </w:rPr>
      </w:pPr>
      <w:r>
        <w:rPr>
          <w:rFonts w:hint="eastAsia" w:ascii="仿宋" w:hAnsi="仿宋" w:eastAsia="仿宋" w:cs="宋体"/>
          <w:b/>
          <w:bCs/>
          <w:kern w:val="0"/>
          <w:sz w:val="32"/>
          <w:szCs w:val="32"/>
        </w:rPr>
        <w:t>（二）适时调整公平竞争审查联席会议成员单位，保障公平竞争审查制度全覆盖</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自2016年6月国务院建立公平竞争审查制度，公平竞争审查主体为行政机关和法律、法规授权的具有管理公共事务职能的组织（即政策制定机关）。鄂州市人民政府现设置工作部门32个（2019年鄂州市政府机构改革实施方案），公平竞争审查工作联席会议成员单位现有21个（含市税务局、人民银行鄂州市中心支行、鄂州银保监分局垂直管理单位）。为保证统计数据的客观性，如将垂直管理单位暂不计入统计基数，联席会议成员单位仅占政府现工作部门的56%，如将鄂州海关等垂直管理单位计入基数统计，该数值将大幅降低。</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根据公平竞争审查全覆盖要求，可以将市行政审批局、市地方金融工作局、市审计局、市人民防空办公室（市民防局）等单位以及鄂州海关、省药品监督管理局鄂州分局、市邮政管理局等垂管单位逐步纳入公平竞争审查联席会议成员单位，实现公平竞争审查全覆盖的制度要求。</w:t>
      </w:r>
    </w:p>
    <w:p>
      <w:pPr>
        <w:widowControl/>
        <w:ind w:firstLine="675" w:firstLineChars="210"/>
        <w:jc w:val="left"/>
        <w:rPr>
          <w:rFonts w:ascii="仿宋" w:hAnsi="仿宋" w:eastAsia="仿宋" w:cs="宋体"/>
          <w:b/>
          <w:bCs/>
          <w:kern w:val="0"/>
          <w:sz w:val="32"/>
          <w:szCs w:val="32"/>
        </w:rPr>
      </w:pPr>
      <w:r>
        <w:rPr>
          <w:rFonts w:hint="eastAsia" w:ascii="仿宋" w:hAnsi="仿宋" w:eastAsia="仿宋" w:cs="宋体"/>
          <w:b/>
          <w:bCs/>
          <w:kern w:val="0"/>
          <w:sz w:val="32"/>
          <w:szCs w:val="32"/>
        </w:rPr>
        <w:t>（三）加强公平竞争审查工作的培训学习</w:t>
      </w:r>
    </w:p>
    <w:p>
      <w:pPr>
        <w:widowControl/>
        <w:ind w:firstLine="672" w:firstLineChars="210"/>
        <w:jc w:val="left"/>
        <w:rPr>
          <w:rFonts w:ascii="仿宋" w:hAnsi="仿宋" w:eastAsia="仿宋" w:cs="宋体"/>
          <w:strike/>
          <w:kern w:val="0"/>
          <w:sz w:val="32"/>
          <w:szCs w:val="32"/>
        </w:rPr>
      </w:pPr>
      <w:r>
        <w:rPr>
          <w:rFonts w:hint="eastAsia" w:ascii="仿宋" w:hAnsi="仿宋" w:eastAsia="仿宋" w:cs="宋体"/>
          <w:bCs/>
          <w:kern w:val="0"/>
          <w:sz w:val="32"/>
          <w:szCs w:val="32"/>
        </w:rPr>
        <w:t>市公平竞争审查联席会议办公室可</w:t>
      </w:r>
      <w:r>
        <w:rPr>
          <w:rFonts w:hint="eastAsia" w:ascii="仿宋" w:hAnsi="仿宋" w:eastAsia="仿宋" w:cs="宋体"/>
          <w:kern w:val="0"/>
          <w:sz w:val="32"/>
          <w:szCs w:val="32"/>
        </w:rPr>
        <w:t>分层级组织公平竞争审查制度培训</w:t>
      </w:r>
      <w:r>
        <w:rPr>
          <w:rFonts w:hint="eastAsia" w:ascii="仿宋" w:hAnsi="仿宋" w:eastAsia="仿宋" w:cs="宋体"/>
          <w:bCs/>
          <w:kern w:val="0"/>
          <w:sz w:val="32"/>
          <w:szCs w:val="32"/>
        </w:rPr>
        <w:t>、学习，</w:t>
      </w:r>
      <w:r>
        <w:rPr>
          <w:rFonts w:hint="eastAsia" w:ascii="仿宋" w:hAnsi="仿宋" w:eastAsia="仿宋" w:cs="宋体"/>
          <w:kern w:val="0"/>
          <w:sz w:val="32"/>
          <w:szCs w:val="32"/>
        </w:rPr>
        <w:t>提高培训、学习的针对性和实操性。</w:t>
      </w:r>
      <w:r>
        <w:rPr>
          <w:rFonts w:hint="eastAsia" w:ascii="仿宋" w:hAnsi="仿宋" w:eastAsia="仿宋" w:cs="宋体"/>
          <w:bCs/>
          <w:kern w:val="0"/>
          <w:sz w:val="32"/>
          <w:szCs w:val="32"/>
        </w:rPr>
        <w:t>既可外出培训，也可聘请专家学者到鄂州现场培训授课。另外，建议市公平竞争联席会议办公室定期推送有关公平竞争审查的最新法律法规、规章，</w:t>
      </w:r>
      <w:r>
        <w:rPr>
          <w:rFonts w:hint="eastAsia" w:ascii="仿宋" w:hAnsi="仿宋" w:eastAsia="仿宋" w:cs="宋体"/>
          <w:kern w:val="0"/>
          <w:sz w:val="32"/>
          <w:szCs w:val="32"/>
        </w:rPr>
        <w:t>强化案例解读，提升审查工作能力和水平。</w:t>
      </w:r>
    </w:p>
    <w:p>
      <w:pPr>
        <w:widowControl/>
        <w:shd w:val="clear" w:color="auto" w:fill="FFFFFF"/>
        <w:ind w:firstLine="517" w:firstLineChars="161"/>
        <w:rPr>
          <w:rFonts w:ascii="仿宋" w:hAnsi="仿宋" w:eastAsia="仿宋" w:cs="宋体"/>
          <w:b/>
          <w:bCs/>
          <w:kern w:val="0"/>
          <w:sz w:val="32"/>
          <w:szCs w:val="32"/>
        </w:rPr>
      </w:pPr>
      <w:r>
        <w:rPr>
          <w:rFonts w:hint="eastAsia" w:ascii="仿宋" w:hAnsi="仿宋" w:eastAsia="仿宋" w:cs="宋体"/>
          <w:b/>
          <w:bCs/>
          <w:kern w:val="0"/>
          <w:sz w:val="32"/>
          <w:szCs w:val="32"/>
        </w:rPr>
        <w:t>（四）探索建立公平竞争审查数据库，实施政策措施备案制度</w:t>
      </w:r>
    </w:p>
    <w:p>
      <w:pPr>
        <w:widowControl/>
        <w:ind w:firstLine="672" w:firstLineChars="210"/>
        <w:jc w:val="left"/>
        <w:rPr>
          <w:rFonts w:ascii="仿宋" w:hAnsi="仿宋" w:eastAsia="仿宋" w:cs="宋体"/>
          <w:bCs/>
          <w:kern w:val="0"/>
          <w:sz w:val="32"/>
          <w:szCs w:val="32"/>
        </w:rPr>
      </w:pPr>
      <w:r>
        <w:rPr>
          <w:rFonts w:hint="eastAsia" w:ascii="仿宋" w:hAnsi="仿宋" w:eastAsia="仿宋" w:cs="宋体"/>
          <w:bCs/>
          <w:kern w:val="0"/>
          <w:sz w:val="32"/>
          <w:szCs w:val="32"/>
        </w:rPr>
        <w:t>在评估期间，评估工作组发现评估对象注重有文号的规范性文件公平竞争审查工作，但对无文号的政策措施（含“一事一议”形式）审查制度不能很好落实。加强信息化技术运用，实现全程留痕和可回溯管理。探索</w:t>
      </w:r>
      <w:r>
        <w:rPr>
          <w:rFonts w:ascii="仿宋" w:hAnsi="仿宋" w:eastAsia="仿宋" w:cs="宋体"/>
          <w:bCs/>
          <w:kern w:val="0"/>
          <w:sz w:val="32"/>
          <w:szCs w:val="32"/>
        </w:rPr>
        <w:t>建立全</w:t>
      </w:r>
      <w:r>
        <w:rPr>
          <w:rFonts w:hint="eastAsia" w:ascii="仿宋" w:hAnsi="仿宋" w:eastAsia="仿宋" w:cs="宋体"/>
          <w:bCs/>
          <w:kern w:val="0"/>
          <w:sz w:val="32"/>
          <w:szCs w:val="32"/>
        </w:rPr>
        <w:t>市</w:t>
      </w:r>
      <w:r>
        <w:rPr>
          <w:rFonts w:ascii="仿宋" w:hAnsi="仿宋" w:eastAsia="仿宋" w:cs="宋体"/>
          <w:bCs/>
          <w:kern w:val="0"/>
          <w:sz w:val="32"/>
          <w:szCs w:val="32"/>
        </w:rPr>
        <w:t>公平竞争审查数据库，将市、</w:t>
      </w:r>
      <w:r>
        <w:rPr>
          <w:rFonts w:hint="eastAsia" w:ascii="仿宋" w:hAnsi="仿宋" w:eastAsia="仿宋" w:cs="宋体"/>
          <w:bCs/>
          <w:kern w:val="0"/>
          <w:sz w:val="32"/>
          <w:szCs w:val="32"/>
        </w:rPr>
        <w:t>区</w:t>
      </w:r>
      <w:r>
        <w:rPr>
          <w:rFonts w:ascii="仿宋" w:hAnsi="仿宋" w:eastAsia="仿宋" w:cs="宋体"/>
          <w:bCs/>
          <w:kern w:val="0"/>
          <w:sz w:val="32"/>
          <w:szCs w:val="32"/>
        </w:rPr>
        <w:t>政府及其部门制定的涉及市场主体经济活动的规范性文件和其他政策措施全部入库，依托数据库实现信息统计制度化、文件抽查常态化。</w:t>
      </w:r>
      <w:r>
        <w:rPr>
          <w:rFonts w:hint="eastAsia" w:ascii="仿宋" w:hAnsi="仿宋" w:eastAsia="仿宋" w:cs="宋体"/>
          <w:bCs/>
          <w:kern w:val="0"/>
          <w:sz w:val="32"/>
          <w:szCs w:val="32"/>
        </w:rPr>
        <w:t>将有效提高抽查文件的比例和覆盖面，确保全面覆盖、应审尽审，强化公平竞争审查制度刚性约束。</w:t>
      </w:r>
    </w:p>
    <w:p>
      <w:pPr>
        <w:widowControl/>
        <w:shd w:val="clear" w:color="auto" w:fill="FFFFFF"/>
        <w:ind w:firstLine="517" w:firstLineChars="161"/>
        <w:rPr>
          <w:rFonts w:ascii="仿宋" w:hAnsi="仿宋" w:eastAsia="仿宋" w:cs="宋体"/>
          <w:b/>
          <w:bCs/>
          <w:kern w:val="0"/>
          <w:sz w:val="32"/>
          <w:szCs w:val="32"/>
        </w:rPr>
      </w:pPr>
      <w:r>
        <w:rPr>
          <w:rFonts w:hint="eastAsia" w:ascii="仿宋" w:hAnsi="仿宋" w:eastAsia="仿宋" w:cs="宋体"/>
          <w:b/>
          <w:bCs/>
          <w:kern w:val="0"/>
          <w:sz w:val="32"/>
          <w:szCs w:val="32"/>
        </w:rPr>
        <w:t>（五）及时回应投诉举报，加大行政垄断案件执法力度</w:t>
      </w:r>
    </w:p>
    <w:p>
      <w:pPr>
        <w:widowControl/>
        <w:ind w:firstLine="563" w:firstLineChars="176"/>
        <w:jc w:val="left"/>
        <w:rPr>
          <w:rFonts w:ascii="仿宋" w:hAnsi="仿宋" w:eastAsia="仿宋" w:cs="宋体"/>
          <w:bCs/>
          <w:kern w:val="0"/>
          <w:sz w:val="32"/>
          <w:szCs w:val="32"/>
        </w:rPr>
      </w:pPr>
      <w:r>
        <w:rPr>
          <w:rFonts w:hint="eastAsia" w:ascii="仿宋" w:hAnsi="仿宋" w:eastAsia="仿宋" w:cs="宋体"/>
          <w:bCs/>
          <w:kern w:val="0"/>
          <w:sz w:val="32"/>
          <w:szCs w:val="32"/>
        </w:rPr>
        <w:t>及时回应各类市场主体的公平竞争审查投诉举报，对举报反映的违反公平竞争审查标准出台政策措施的问题，政策制定机关的上级机关及市场监督管理部门要及时核查，情况属实的责令政策制定机关进行整改，对整改不及时不到位的依法依规严肃处理。</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执法是最好的普法。反垄断执法是公平竞争审查制度的重要保障。强化反垄断执法，加大行政垄断案件的查处力度，对执法中发现的行政机关滥用行政权力排除限制竞争的行为进行纠正并通报，通过执法纠偏，以案释法，促进公平竞争审查工作全面深入推进。</w:t>
      </w:r>
    </w:p>
    <w:p>
      <w:pPr>
        <w:widowControl/>
        <w:ind w:firstLine="675" w:firstLineChars="210"/>
        <w:jc w:val="left"/>
        <w:rPr>
          <w:rFonts w:ascii="仿宋" w:hAnsi="仿宋" w:eastAsia="仿宋" w:cs="宋体"/>
          <w:b/>
          <w:bCs/>
          <w:kern w:val="0"/>
          <w:sz w:val="32"/>
          <w:szCs w:val="32"/>
        </w:rPr>
      </w:pPr>
      <w:r>
        <w:rPr>
          <w:rFonts w:hint="eastAsia" w:ascii="仿宋" w:hAnsi="仿宋" w:eastAsia="仿宋" w:cs="宋体"/>
          <w:b/>
          <w:bCs/>
          <w:kern w:val="0"/>
          <w:sz w:val="32"/>
          <w:szCs w:val="32"/>
        </w:rPr>
        <w:t>（六）有的放矢，积极开展第三方评估</w:t>
      </w:r>
    </w:p>
    <w:p>
      <w:pPr>
        <w:widowControl/>
        <w:shd w:val="clear" w:color="auto" w:fill="FFFFFF"/>
        <w:ind w:firstLine="672" w:firstLineChars="210"/>
        <w:rPr>
          <w:rFonts w:ascii="仿宋" w:hAnsi="仿宋" w:eastAsia="仿宋" w:cs="宋体"/>
          <w:b/>
          <w:bCs/>
          <w:kern w:val="0"/>
          <w:sz w:val="32"/>
          <w:szCs w:val="32"/>
        </w:rPr>
      </w:pPr>
      <w:r>
        <w:rPr>
          <w:rFonts w:hint="eastAsia" w:ascii="仿宋" w:hAnsi="仿宋" w:eastAsia="仿宋"/>
          <w:color w:val="000000"/>
          <w:sz w:val="32"/>
          <w:szCs w:val="32"/>
          <w:shd w:val="clear" w:color="auto" w:fill="FFFFFF"/>
        </w:rPr>
        <w:t>根据本次评估情况，评估工作组认为在公平竞争审查工作中应做到重点突出，有的放矢。对涉及市场主体联系较为密切的行业领域制定的政策措施在出台前进行重点审查。</w:t>
      </w:r>
      <w:r>
        <w:rPr>
          <w:rFonts w:hint="eastAsia" w:ascii="仿宋" w:hAnsi="仿宋" w:eastAsia="仿宋" w:cs="宋体"/>
          <w:bCs/>
          <w:kern w:val="0"/>
          <w:sz w:val="32"/>
          <w:szCs w:val="32"/>
        </w:rPr>
        <w:t>鼓励评估对象委托第三评估机构开展公平竞争审查工作。</w:t>
      </w:r>
    </w:p>
    <w:p>
      <w:pPr>
        <w:widowControl/>
        <w:shd w:val="clear" w:color="auto" w:fill="FFFFFF"/>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对拟适用例外规定的、对社会公共利益影响重大的、部门意见存在较大分歧的，以及被利害关系人举报涉嫌违反审查标准的政策措施，优先考虑引入第三方评估，保障审查质效。</w:t>
      </w:r>
    </w:p>
    <w:p>
      <w:pPr>
        <w:widowControl/>
        <w:ind w:firstLine="675" w:firstLineChars="210"/>
        <w:jc w:val="left"/>
        <w:rPr>
          <w:rFonts w:ascii="仿宋" w:hAnsi="仿宋" w:eastAsia="仿宋" w:cs="宋体"/>
          <w:b/>
          <w:bCs/>
          <w:kern w:val="0"/>
          <w:sz w:val="32"/>
          <w:szCs w:val="32"/>
        </w:rPr>
      </w:pPr>
      <w:r>
        <w:rPr>
          <w:rFonts w:hint="eastAsia" w:ascii="仿宋" w:hAnsi="仿宋" w:eastAsia="仿宋" w:cs="宋体"/>
          <w:b/>
          <w:bCs/>
          <w:kern w:val="0"/>
          <w:sz w:val="32"/>
          <w:szCs w:val="32"/>
        </w:rPr>
        <w:t>（七）重视公平竞争审查工作的宣传，</w:t>
      </w:r>
      <w:r>
        <w:rPr>
          <w:rFonts w:hint="eastAsia" w:ascii="仿宋" w:hAnsi="仿宋" w:eastAsia="仿宋" w:cs="宋体"/>
          <w:b/>
          <w:kern w:val="0"/>
          <w:sz w:val="32"/>
          <w:szCs w:val="32"/>
        </w:rPr>
        <w:t>推进决策公平中立，增强公众参与性、针对性、有效性</w:t>
      </w:r>
    </w:p>
    <w:p>
      <w:pPr>
        <w:widowControl/>
        <w:ind w:firstLine="675" w:firstLineChars="210"/>
        <w:jc w:val="left"/>
        <w:rPr>
          <w:rFonts w:ascii="仿宋" w:hAnsi="仿宋" w:eastAsia="仿宋" w:cs="宋体"/>
          <w:bCs/>
          <w:kern w:val="0"/>
          <w:sz w:val="32"/>
          <w:szCs w:val="32"/>
        </w:rPr>
      </w:pPr>
      <w:r>
        <w:rPr>
          <w:rFonts w:hint="eastAsia" w:ascii="仿宋" w:hAnsi="仿宋" w:eastAsia="仿宋" w:cs="宋体"/>
          <w:b/>
          <w:bCs/>
          <w:kern w:val="0"/>
          <w:sz w:val="32"/>
          <w:szCs w:val="32"/>
        </w:rPr>
        <w:t>一是要强化公平竞争审查的宣传力度。</w:t>
      </w:r>
      <w:r>
        <w:rPr>
          <w:rFonts w:hint="eastAsia" w:ascii="仿宋" w:hAnsi="仿宋" w:eastAsia="仿宋" w:cs="宋体"/>
          <w:bCs/>
          <w:kern w:val="0"/>
          <w:sz w:val="32"/>
          <w:szCs w:val="32"/>
        </w:rPr>
        <w:t>充分利用各类新闻媒体、政府部门门户网站、官方微信号等网上宣传渠道，及时解读国家、省、市公平竞争审查政策，广泛宣传公平竞争审查制度的重要意义、进展和成效，加强倡导竞争，增强各级政府部门的公平竞争意识，培育良好竞争文化，不断扩大公平竞争审查制度的社会影响力。</w:t>
      </w:r>
    </w:p>
    <w:p>
      <w:pPr>
        <w:widowControl/>
        <w:ind w:firstLine="675" w:firstLineChars="210"/>
        <w:jc w:val="left"/>
        <w:rPr>
          <w:rFonts w:ascii="仿宋" w:hAnsi="仿宋" w:eastAsia="仿宋" w:cs="宋体"/>
          <w:kern w:val="0"/>
          <w:sz w:val="32"/>
          <w:szCs w:val="32"/>
        </w:rPr>
      </w:pPr>
      <w:r>
        <w:rPr>
          <w:rFonts w:hint="eastAsia" w:ascii="仿宋" w:hAnsi="仿宋" w:eastAsia="仿宋" w:cs="宋体"/>
          <w:b/>
          <w:kern w:val="0"/>
          <w:sz w:val="32"/>
          <w:szCs w:val="32"/>
        </w:rPr>
        <w:t>二是增强公众参与实效。</w:t>
      </w:r>
      <w:r>
        <w:rPr>
          <w:rFonts w:hint="eastAsia" w:ascii="仿宋" w:hAnsi="仿宋" w:eastAsia="仿宋" w:cs="宋体"/>
          <w:kern w:val="0"/>
          <w:sz w:val="32"/>
          <w:szCs w:val="32"/>
        </w:rPr>
        <w:t>将政策解读关口前移，在决策草案征求阶段，充分发挥政府网站、政务新媒体等高效便捷的作用，草案发布后及时宣传和充分解读，减轻公众在参与过程中的理解障碍，提升公众参与的针对性，提高审查的质量和效果，增强决策出台后的认可度和支持度。</w:t>
      </w:r>
    </w:p>
    <w:p>
      <w:pPr>
        <w:widowControl/>
        <w:ind w:firstLine="675" w:firstLineChars="210"/>
        <w:jc w:val="left"/>
        <w:rPr>
          <w:rFonts w:ascii="仿宋" w:hAnsi="仿宋" w:eastAsia="仿宋" w:cs="宋体"/>
          <w:kern w:val="0"/>
          <w:sz w:val="32"/>
          <w:szCs w:val="32"/>
        </w:rPr>
      </w:pPr>
      <w:r>
        <w:rPr>
          <w:rFonts w:hint="eastAsia" w:ascii="仿宋" w:hAnsi="仿宋" w:eastAsia="仿宋" w:cs="Arial"/>
          <w:b/>
          <w:kern w:val="0"/>
          <w:sz w:val="32"/>
          <w:szCs w:val="32"/>
        </w:rPr>
        <w:t>三是对与群众利益相关卫生、教育等领域事项予以解读。</w:t>
      </w:r>
      <w:r>
        <w:rPr>
          <w:rFonts w:hint="eastAsia" w:ascii="仿宋" w:hAnsi="仿宋" w:eastAsia="仿宋" w:cs="Arial"/>
          <w:kern w:val="0"/>
          <w:sz w:val="32"/>
          <w:szCs w:val="32"/>
        </w:rPr>
        <w:t>对群</w:t>
      </w:r>
      <w:r>
        <w:rPr>
          <w:rFonts w:hint="eastAsia" w:ascii="仿宋" w:hAnsi="仿宋" w:eastAsia="仿宋" w:cs="宋体"/>
          <w:kern w:val="0"/>
          <w:sz w:val="32"/>
          <w:szCs w:val="32"/>
        </w:rPr>
        <w:t>众普遍反映药品垄断、价格虚高、教育领域违反公平竞争审查问题及时予以信息公开。加强政策解读和舆论引导，为落实公平竞争审查制度创造良好的社会氛围。</w:t>
      </w:r>
    </w:p>
    <w:p>
      <w:pPr>
        <w:widowControl/>
        <w:ind w:firstLine="675" w:firstLineChars="210"/>
        <w:jc w:val="left"/>
        <w:rPr>
          <w:rFonts w:ascii="仿宋" w:hAnsi="仿宋" w:eastAsia="仿宋" w:cs="宋体"/>
          <w:kern w:val="0"/>
          <w:sz w:val="32"/>
          <w:szCs w:val="32"/>
        </w:rPr>
      </w:pPr>
      <w:r>
        <w:rPr>
          <w:rFonts w:hint="eastAsia" w:ascii="仿宋" w:hAnsi="仿宋" w:eastAsia="仿宋" w:cs="宋体"/>
          <w:b/>
          <w:kern w:val="0"/>
          <w:sz w:val="32"/>
          <w:szCs w:val="32"/>
        </w:rPr>
        <w:t>（八）逐步形成公平竞争审查齐抓共管、协同推进的大格局</w:t>
      </w:r>
    </w:p>
    <w:p>
      <w:pPr>
        <w:widowControl/>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公平竞争审查不是市场监督管理部门一家唱独角戏，要进一步理顺和加强公平竞争审查工作的组织领导体制、协调机制、工作机制，整合公平竞争审查方面的力量和资源，形成全市多部门联动、齐抓共管、协同推进的公平竞争审查大格局。加强牵头部门的统筹协同，提升审查专业化水平，确保审查落到实处。</w:t>
      </w:r>
    </w:p>
    <w:p>
      <w:pPr>
        <w:widowControl/>
        <w:ind w:firstLine="672" w:firstLineChars="210"/>
        <w:jc w:val="left"/>
        <w:rPr>
          <w:rFonts w:ascii="仿宋" w:hAnsi="仿宋" w:eastAsia="仿宋" w:cs="宋体"/>
          <w:kern w:val="0"/>
          <w:sz w:val="32"/>
          <w:szCs w:val="32"/>
        </w:rPr>
      </w:pPr>
      <w:r>
        <w:rPr>
          <w:rFonts w:hint="eastAsia" w:ascii="仿宋" w:hAnsi="仿宋" w:eastAsia="仿宋" w:cs="宋体"/>
          <w:kern w:val="0"/>
          <w:sz w:val="32"/>
          <w:szCs w:val="32"/>
        </w:rPr>
        <w:t>加大督查力度，接受社会监督。建议对存量清理和增量审查开展全覆盖专项督查，确保公平竞争审查工作落到实处。建立公平竞争审查工作定期公示制度及统一的公示平台，对督查发现的问题，核查整改情况通过公示平台向社会公开，接受社会监督。</w:t>
      </w:r>
    </w:p>
    <w:p>
      <w:pPr>
        <w:widowControl/>
        <w:shd w:val="clear" w:color="auto" w:fill="FFFFFF"/>
        <w:ind w:firstLine="630" w:firstLineChars="196"/>
        <w:rPr>
          <w:rFonts w:ascii="仿宋" w:hAnsi="仿宋" w:eastAsia="仿宋" w:cs="宋体"/>
          <w:b/>
          <w:bCs/>
          <w:kern w:val="0"/>
          <w:sz w:val="32"/>
          <w:szCs w:val="32"/>
        </w:rPr>
      </w:pPr>
      <w:r>
        <w:rPr>
          <w:rFonts w:hint="eastAsia" w:ascii="仿宋" w:hAnsi="仿宋" w:eastAsia="仿宋" w:cs="宋体"/>
          <w:b/>
          <w:bCs/>
          <w:kern w:val="0"/>
          <w:sz w:val="32"/>
          <w:szCs w:val="32"/>
        </w:rPr>
        <w:t>五、有关评估情况的说明</w:t>
      </w:r>
    </w:p>
    <w:p>
      <w:pPr>
        <w:widowControl/>
        <w:shd w:val="clear" w:color="auto" w:fill="FFFFFF"/>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(一)由评估对象提供的评估样本，因不能排除有针对性提供，可能影响评估结果。</w:t>
      </w:r>
    </w:p>
    <w:p>
      <w:pPr>
        <w:widowControl/>
        <w:shd w:val="clear" w:color="auto" w:fill="FFFFFF"/>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(二)部分评估对象不能很好配合评估工作提交评估资料，一定程度影响评估结果。</w:t>
      </w:r>
    </w:p>
    <w:p>
      <w:pPr>
        <w:widowControl/>
        <w:shd w:val="clear" w:color="auto" w:fill="FFFFFF"/>
        <w:spacing w:before="120" w:after="120"/>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（三）评估样本数量有限，违规政策措施数量与评估对象发文总数量关联较弱。</w:t>
      </w:r>
    </w:p>
    <w:p>
      <w:pPr>
        <w:widowControl/>
        <w:shd w:val="clear" w:color="auto" w:fill="FFFFFF"/>
        <w:spacing w:before="120" w:after="120"/>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（四）部分评估对象提供政策措施样本不足18份，根据其门户网站及公共资源交易网站亦不能提取足够数量样本。</w:t>
      </w:r>
    </w:p>
    <w:p>
      <w:pPr>
        <w:widowControl/>
        <w:shd w:val="clear" w:color="auto" w:fill="FFFFFF"/>
        <w:tabs>
          <w:tab w:val="left" w:pos="4111"/>
        </w:tabs>
        <w:spacing w:before="120" w:after="120"/>
        <w:ind w:firstLine="672" w:firstLineChars="210"/>
        <w:rPr>
          <w:rFonts w:ascii="仿宋" w:hAnsi="仿宋" w:eastAsia="仿宋" w:cs="宋体"/>
          <w:bCs/>
          <w:kern w:val="0"/>
          <w:sz w:val="32"/>
          <w:szCs w:val="32"/>
        </w:rPr>
      </w:pPr>
      <w:r>
        <w:rPr>
          <w:rFonts w:hint="eastAsia" w:ascii="仿宋" w:hAnsi="仿宋" w:eastAsia="仿宋" w:cs="宋体"/>
          <w:bCs/>
          <w:kern w:val="0"/>
          <w:sz w:val="32"/>
          <w:szCs w:val="32"/>
        </w:rPr>
        <w:t>（五）评估工作组发现的违规政策措施大部分系评估机构通过评估对象门户网站和鄂州市公共资源交易网提取，实际违规政策措施数量可能因评估对象政府信息公开程度存在误差，不排除评估对象仍有未发现的违规政策措施。</w:t>
      </w:r>
    </w:p>
    <w:p>
      <w:pPr>
        <w:widowControl/>
        <w:shd w:val="clear" w:color="auto" w:fill="FFFFFF"/>
        <w:spacing w:before="120" w:after="120"/>
        <w:ind w:firstLine="3775" w:firstLineChars="1175"/>
        <w:rPr>
          <w:rFonts w:ascii="仿宋" w:hAnsi="仿宋" w:eastAsia="仿宋" w:cs="宋体"/>
          <w:b/>
          <w:bCs/>
          <w:kern w:val="0"/>
          <w:sz w:val="32"/>
          <w:szCs w:val="32"/>
        </w:rPr>
      </w:pPr>
    </w:p>
    <w:p>
      <w:pPr>
        <w:widowControl/>
        <w:shd w:val="clear" w:color="auto" w:fill="FFFFFF"/>
        <w:spacing w:before="120" w:after="120"/>
        <w:ind w:firstLine="3775" w:firstLineChars="1175"/>
        <w:rPr>
          <w:rFonts w:ascii="仿宋" w:hAnsi="仿宋" w:eastAsia="仿宋" w:cs="宋体"/>
          <w:b/>
          <w:bCs/>
          <w:kern w:val="0"/>
          <w:sz w:val="32"/>
          <w:szCs w:val="32"/>
        </w:rPr>
      </w:pPr>
      <w:r>
        <w:rPr>
          <w:rFonts w:hint="eastAsia" w:ascii="仿宋" w:hAnsi="仿宋" w:eastAsia="仿宋" w:cs="宋体"/>
          <w:b/>
          <w:bCs/>
          <w:kern w:val="0"/>
          <w:sz w:val="32"/>
          <w:szCs w:val="32"/>
        </w:rPr>
        <w:t>评估人员：柯国顺</w:t>
      </w:r>
    </w:p>
    <w:p>
      <w:pPr>
        <w:widowControl/>
        <w:shd w:val="clear" w:color="auto" w:fill="FFFFFF"/>
        <w:spacing w:before="120" w:after="120"/>
        <w:ind w:firstLine="5381" w:firstLineChars="1675"/>
        <w:rPr>
          <w:rFonts w:ascii="仿宋" w:hAnsi="仿宋" w:eastAsia="仿宋" w:cs="宋体"/>
          <w:b/>
          <w:bCs/>
          <w:kern w:val="0"/>
          <w:sz w:val="32"/>
          <w:szCs w:val="32"/>
        </w:rPr>
      </w:pPr>
      <w:r>
        <w:rPr>
          <w:rFonts w:hint="eastAsia" w:ascii="仿宋" w:hAnsi="仿宋" w:eastAsia="仿宋" w:cs="宋体"/>
          <w:b/>
          <w:bCs/>
          <w:kern w:val="0"/>
          <w:sz w:val="32"/>
          <w:szCs w:val="32"/>
        </w:rPr>
        <w:t>胡什兵</w:t>
      </w:r>
    </w:p>
    <w:p>
      <w:pPr>
        <w:widowControl/>
        <w:shd w:val="clear" w:color="auto" w:fill="FFFFFF"/>
        <w:spacing w:before="120" w:after="120"/>
        <w:ind w:firstLine="5381" w:firstLineChars="1675"/>
        <w:rPr>
          <w:rFonts w:ascii="仿宋" w:hAnsi="仿宋" w:eastAsia="仿宋" w:cs="宋体"/>
          <w:b/>
          <w:kern w:val="0"/>
          <w:sz w:val="32"/>
          <w:szCs w:val="32"/>
        </w:rPr>
      </w:pPr>
      <w:r>
        <w:rPr>
          <w:rFonts w:hint="eastAsia" w:ascii="仿宋" w:hAnsi="仿宋" w:eastAsia="仿宋" w:cs="宋体"/>
          <w:b/>
          <w:kern w:val="0"/>
          <w:sz w:val="32"/>
          <w:szCs w:val="32"/>
        </w:rPr>
        <w:t>吴卫华</w:t>
      </w:r>
    </w:p>
    <w:p>
      <w:pPr>
        <w:widowControl/>
        <w:shd w:val="clear" w:color="auto" w:fill="FFFFFF"/>
        <w:spacing w:before="120" w:after="120"/>
        <w:ind w:firstLineChars="0"/>
        <w:jc w:val="right"/>
        <w:rPr>
          <w:rFonts w:ascii="仿宋" w:hAnsi="仿宋" w:eastAsia="仿宋"/>
          <w:b/>
          <w:sz w:val="32"/>
          <w:szCs w:val="32"/>
        </w:rPr>
      </w:pPr>
      <w:r>
        <w:rPr>
          <w:rFonts w:hint="eastAsia" w:ascii="仿宋" w:hAnsi="仿宋" w:eastAsia="仿宋"/>
          <w:b/>
          <w:sz w:val="32"/>
          <w:szCs w:val="32"/>
        </w:rPr>
        <w:t>评估机构：湖北伸道律师事务所</w:t>
      </w:r>
    </w:p>
    <w:p>
      <w:pPr>
        <w:widowControl/>
        <w:shd w:val="clear" w:color="auto" w:fill="FFFFFF"/>
        <w:spacing w:before="120" w:after="120"/>
        <w:ind w:firstLineChars="0"/>
        <w:jc w:val="right"/>
        <w:rPr>
          <w:rFonts w:ascii="仿宋" w:hAnsi="仿宋" w:eastAsia="仿宋"/>
          <w:b/>
          <w:sz w:val="32"/>
          <w:szCs w:val="32"/>
        </w:rPr>
      </w:pPr>
      <w:r>
        <w:rPr>
          <w:rFonts w:hint="eastAsia" w:ascii="仿宋" w:hAnsi="仿宋" w:eastAsia="仿宋"/>
          <w:b/>
          <w:sz w:val="32"/>
          <w:szCs w:val="32"/>
        </w:rPr>
        <w:t>二O二O年十二月十六日</w:t>
      </w: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p>
    <w:p>
      <w:pPr>
        <w:widowControl/>
        <w:ind w:firstLine="0" w:firstLineChars="0"/>
        <w:jc w:val="left"/>
        <w:rPr>
          <w:rFonts w:ascii="仿宋" w:hAnsi="仿宋" w:eastAsia="仿宋" w:cs="宋体"/>
          <w:kern w:val="0"/>
          <w:sz w:val="32"/>
          <w:szCs w:val="32"/>
        </w:rPr>
      </w:pPr>
      <w:r>
        <w:rPr>
          <w:rFonts w:hint="eastAsia" w:ascii="仿宋" w:hAnsi="仿宋" w:eastAsia="仿宋" w:cs="宋体"/>
          <w:kern w:val="0"/>
          <w:sz w:val="32"/>
          <w:szCs w:val="32"/>
        </w:rPr>
        <w:t>本次评估由湖北伸道律师事务所负责实施。</w:t>
      </w:r>
    </w:p>
    <w:p>
      <w:pPr>
        <w:widowControl/>
        <w:ind w:firstLine="0" w:firstLineChars="0"/>
        <w:jc w:val="left"/>
        <w:rPr>
          <w:rFonts w:ascii="仿宋" w:hAnsi="仿宋" w:eastAsia="仿宋" w:cs="宋体"/>
          <w:kern w:val="0"/>
          <w:sz w:val="32"/>
          <w:szCs w:val="32"/>
        </w:rPr>
      </w:pPr>
      <w:r>
        <w:rPr>
          <w:rFonts w:hint="eastAsia" w:ascii="仿宋" w:hAnsi="仿宋" w:eastAsia="仿宋" w:cs="宋体"/>
          <w:kern w:val="0"/>
          <w:sz w:val="32"/>
          <w:szCs w:val="32"/>
        </w:rPr>
        <w:t>评估组负责人：柯国顺，湖北伸道律师事务所 主任</w:t>
      </w:r>
    </w:p>
    <w:p>
      <w:pPr>
        <w:widowControl/>
        <w:ind w:left="27" w:leftChars="13" w:firstLine="0" w:firstLineChars="0"/>
        <w:jc w:val="left"/>
        <w:rPr>
          <w:rFonts w:ascii="仿宋" w:hAnsi="仿宋" w:eastAsia="仿宋" w:cs="宋体"/>
          <w:kern w:val="0"/>
          <w:sz w:val="32"/>
          <w:szCs w:val="32"/>
        </w:rPr>
      </w:pPr>
      <w:r>
        <w:rPr>
          <w:rFonts w:hint="eastAsia" w:ascii="仿宋" w:hAnsi="仿宋" w:eastAsia="仿宋" w:cs="宋体"/>
          <w:kern w:val="0"/>
          <w:sz w:val="32"/>
          <w:szCs w:val="32"/>
        </w:rPr>
        <w:t>评估组成员：胡什兵，湖北伸道律师事务所 合伙人、执业律师</w:t>
      </w:r>
    </w:p>
    <w:p>
      <w:pPr>
        <w:widowControl/>
        <w:ind w:firstLineChars="0"/>
        <w:jc w:val="left"/>
        <w:rPr>
          <w:rFonts w:ascii="仿宋" w:hAnsi="仿宋" w:eastAsia="仿宋" w:cs="宋体"/>
          <w:kern w:val="0"/>
          <w:sz w:val="32"/>
          <w:szCs w:val="32"/>
        </w:rPr>
      </w:pPr>
      <w:r>
        <w:rPr>
          <w:rFonts w:hint="eastAsia" w:ascii="仿宋" w:hAnsi="仿宋" w:eastAsia="仿宋" w:cs="宋体"/>
          <w:kern w:val="0"/>
          <w:sz w:val="32"/>
          <w:szCs w:val="32"/>
        </w:rPr>
        <w:t xml:space="preserve">           吴卫华，湖北伸道律师事务所 执业律师</w:t>
      </w:r>
    </w:p>
    <w:p>
      <w:pPr>
        <w:widowControl/>
        <w:ind w:firstLine="0" w:firstLineChars="0"/>
        <w:jc w:val="left"/>
        <w:rPr>
          <w:rFonts w:ascii="仿宋" w:hAnsi="仿宋" w:eastAsia="仿宋" w:cs="宋体"/>
          <w:kern w:val="0"/>
          <w:sz w:val="32"/>
          <w:szCs w:val="32"/>
        </w:rPr>
      </w:pPr>
      <w:r>
        <w:rPr>
          <w:rFonts w:hint="eastAsia" w:ascii="仿宋" w:hAnsi="仿宋" w:eastAsia="仿宋" w:cs="宋体"/>
          <w:kern w:val="0"/>
          <w:sz w:val="32"/>
          <w:szCs w:val="32"/>
        </w:rPr>
        <w:t>执  笔  人：胡什兵、吴卫华</w:t>
      </w:r>
    </w:p>
    <w:p>
      <w:pPr>
        <w:ind w:firstLine="0" w:firstLineChars="0"/>
        <w:rPr>
          <w:rFonts w:hint="eastAsia" w:ascii="仿宋" w:hAnsi="仿宋" w:eastAsia="仿宋" w:cs="仿宋"/>
          <w:b/>
          <w:sz w:val="32"/>
          <w:szCs w:val="32"/>
        </w:rPr>
      </w:pPr>
      <w:r>
        <w:rPr>
          <w:rFonts w:hint="eastAsia" w:ascii="仿宋" w:hAnsi="仿宋" w:eastAsia="仿宋" w:cs="仿宋"/>
          <w:b/>
          <w:sz w:val="32"/>
          <w:szCs w:val="32"/>
        </w:rPr>
        <w:t>附件1：鄂州市公平竞争审查工作联席会议成员单位</w:t>
      </w:r>
      <w:r>
        <w:rPr>
          <w:rFonts w:hint="eastAsia" w:ascii="仿宋" w:hAnsi="仿宋" w:eastAsia="仿宋" w:cs="仿宋"/>
          <w:sz w:val="32"/>
          <w:szCs w:val="32"/>
        </w:rPr>
        <w:t>（排名不分先后）</w:t>
      </w:r>
    </w:p>
    <w:p>
      <w:pPr>
        <w:ind w:firstLine="640"/>
        <w:rPr>
          <w:rFonts w:hint="eastAsia" w:ascii="仿宋" w:hAnsi="仿宋" w:eastAsia="仿宋" w:cs="仿宋"/>
          <w:sz w:val="32"/>
          <w:szCs w:val="32"/>
        </w:rPr>
      </w:pPr>
      <w:r>
        <w:rPr>
          <w:rFonts w:hint="eastAsia" w:ascii="仿宋" w:hAnsi="仿宋" w:eastAsia="仿宋" w:cs="仿宋"/>
          <w:sz w:val="32"/>
          <w:szCs w:val="32"/>
        </w:rPr>
        <w:t>市发改委、市经信局、市教育局、市科技局、市民政局、市财政局、市自然资源和规划局、市生态环境局、市住房和城乡建设局、市交通运输局、市水利和湖泊局、市农业农村局、市商务局、市文化和旅游局、市卫健委、市国资委、市税务局、市市场监督管理局、市司法局、人民银行鄂州市中心支行、鄂州银保监分局</w:t>
      </w:r>
    </w:p>
    <w:p>
      <w:pPr>
        <w:ind w:firstLine="420"/>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spacing w:line="580" w:lineRule="exact"/>
        <w:ind w:firstLine="199" w:firstLineChars="62"/>
        <w:jc w:val="left"/>
        <w:rPr>
          <w:rFonts w:hint="eastAsia" w:ascii="仿宋" w:hAnsi="仿宋" w:eastAsia="仿宋"/>
          <w:b/>
          <w:sz w:val="32"/>
          <w:szCs w:val="32"/>
        </w:rPr>
      </w:pPr>
      <w:r>
        <w:rPr>
          <w:rFonts w:hint="eastAsia" w:ascii="仿宋" w:hAnsi="仿宋" w:eastAsia="仿宋"/>
          <w:b/>
          <w:sz w:val="32"/>
          <w:szCs w:val="32"/>
        </w:rPr>
        <w:t xml:space="preserve">附件2：          </w:t>
      </w:r>
    </w:p>
    <w:p>
      <w:pPr>
        <w:spacing w:line="580" w:lineRule="exact"/>
        <w:ind w:firstLine="199" w:firstLineChars="62"/>
        <w:jc w:val="center"/>
        <w:rPr>
          <w:rFonts w:hint="eastAsia" w:ascii="宋体" w:hAnsi="宋体" w:cs="方正小标宋简体"/>
          <w:b/>
          <w:bCs/>
          <w:sz w:val="44"/>
          <w:szCs w:val="44"/>
        </w:rPr>
      </w:pPr>
      <w:r>
        <w:rPr>
          <w:rFonts w:hint="eastAsia" w:ascii="仿宋" w:hAnsi="仿宋" w:eastAsia="仿宋"/>
          <w:b/>
          <w:sz w:val="32"/>
          <w:szCs w:val="32"/>
        </w:rPr>
        <w:t xml:space="preserve">  </w:t>
      </w:r>
      <w:r>
        <w:rPr>
          <w:rFonts w:hint="eastAsia" w:ascii="宋体" w:hAnsi="宋体" w:cs="方正小标宋简体"/>
          <w:b/>
          <w:bCs/>
          <w:sz w:val="44"/>
          <w:szCs w:val="44"/>
        </w:rPr>
        <w:t>湖北伸道律师事务所</w:t>
      </w:r>
    </w:p>
    <w:p>
      <w:pPr>
        <w:spacing w:line="580" w:lineRule="exact"/>
        <w:ind w:firstLine="883"/>
        <w:jc w:val="center"/>
        <w:rPr>
          <w:rFonts w:hint="eastAsia" w:ascii="宋体" w:hAnsi="宋体" w:cs="方正小标宋简体"/>
          <w:b/>
          <w:bCs/>
          <w:sz w:val="44"/>
          <w:szCs w:val="44"/>
        </w:rPr>
      </w:pPr>
      <w:r>
        <w:rPr>
          <w:rFonts w:hint="eastAsia" w:ascii="宋体" w:hAnsi="宋体" w:cs="方正小标宋简体"/>
          <w:b/>
          <w:bCs/>
          <w:sz w:val="44"/>
          <w:szCs w:val="44"/>
        </w:rPr>
        <w:t>关于开展公平竞争审查第三方评估</w:t>
      </w:r>
    </w:p>
    <w:p>
      <w:pPr>
        <w:spacing w:line="580" w:lineRule="exact"/>
        <w:ind w:firstLine="883"/>
        <w:jc w:val="center"/>
        <w:rPr>
          <w:rFonts w:hint="eastAsia" w:ascii="宋体" w:hAnsi="宋体" w:cs="方正小标宋简体"/>
          <w:b/>
          <w:bCs/>
          <w:sz w:val="44"/>
          <w:szCs w:val="44"/>
        </w:rPr>
      </w:pPr>
      <w:r>
        <w:rPr>
          <w:rFonts w:hint="eastAsia" w:ascii="宋体" w:hAnsi="宋体" w:cs="方正小标宋简体"/>
          <w:b/>
          <w:bCs/>
          <w:sz w:val="44"/>
          <w:szCs w:val="44"/>
        </w:rPr>
        <w:t>有关事项的通知</w:t>
      </w:r>
    </w:p>
    <w:p>
      <w:pPr>
        <w:ind w:firstLine="600"/>
        <w:rPr>
          <w:sz w:val="30"/>
          <w:szCs w:val="30"/>
        </w:rPr>
      </w:pPr>
    </w:p>
    <w:p>
      <w:pPr>
        <w:ind w:firstLine="0" w:firstLineChars="0"/>
        <w:jc w:val="left"/>
        <w:rPr>
          <w:rFonts w:hint="eastAsia" w:ascii="仿宋" w:hAnsi="仿宋" w:eastAsia="仿宋" w:cs="仿宋_GB2312"/>
          <w:sz w:val="32"/>
          <w:szCs w:val="32"/>
        </w:rPr>
      </w:pPr>
      <w:r>
        <w:rPr>
          <w:rFonts w:hint="eastAsia" w:ascii="仿宋" w:hAnsi="仿宋" w:eastAsia="仿宋" w:cs="仿宋_GB2312"/>
          <w:sz w:val="32"/>
          <w:szCs w:val="32"/>
        </w:rPr>
        <w:t>市公平竞争审查联席会议各成员单位：</w:t>
      </w:r>
    </w:p>
    <w:p>
      <w:pPr>
        <w:ind w:firstLine="640"/>
        <w:rPr>
          <w:rFonts w:hint="eastAsia" w:ascii="仿宋" w:hAnsi="仿宋" w:eastAsia="仿宋" w:cs="仿宋_GB2312"/>
          <w:sz w:val="32"/>
          <w:szCs w:val="32"/>
        </w:rPr>
      </w:pPr>
      <w:r>
        <w:rPr>
          <w:rFonts w:hint="eastAsia" w:ascii="仿宋" w:hAnsi="仿宋" w:eastAsia="仿宋" w:cs="仿宋_GB2312"/>
          <w:sz w:val="32"/>
          <w:szCs w:val="32"/>
        </w:rPr>
        <w:t>湖北伸道律师事务所（下称“本所”）是鄂州市公平竞争审查第三方评估机构，根据《2020年鄂州市公平竞争审查第三方评估实施方案》要求，现就本所开展公平竞争审查第三方评估的有关事项通知如下：</w:t>
      </w:r>
    </w:p>
    <w:p>
      <w:pPr>
        <w:ind w:firstLine="643"/>
        <w:rPr>
          <w:rFonts w:hint="eastAsia" w:ascii="仿宋" w:hAnsi="仿宋" w:eastAsia="仿宋"/>
          <w:b/>
          <w:bCs/>
          <w:sz w:val="32"/>
          <w:szCs w:val="32"/>
        </w:rPr>
      </w:pPr>
      <w:r>
        <w:rPr>
          <w:rFonts w:hint="eastAsia" w:ascii="仿宋" w:hAnsi="仿宋" w:eastAsia="仿宋"/>
          <w:b/>
          <w:bCs/>
          <w:sz w:val="32"/>
          <w:szCs w:val="32"/>
        </w:rPr>
        <w:t>一、本所将重点评估以下内容：</w:t>
      </w:r>
    </w:p>
    <w:p>
      <w:pPr>
        <w:pStyle w:val="7"/>
        <w:spacing w:before="0" w:beforeAutospacing="0" w:after="0" w:afterAutospacing="0" w:line="560" w:lineRule="exact"/>
        <w:ind w:firstLine="420"/>
        <w:jc w:val="both"/>
        <w:textAlignment w:val="baseline"/>
        <w:rPr>
          <w:rFonts w:hint="eastAsia" w:ascii="仿宋" w:hAnsi="仿宋" w:eastAsia="仿宋" w:cs="华文楷体"/>
          <w:b/>
          <w:bCs/>
          <w:sz w:val="32"/>
          <w:szCs w:val="32"/>
        </w:rPr>
      </w:pPr>
      <w:r>
        <w:rPr>
          <w:rFonts w:hint="eastAsia" w:ascii="仿宋" w:hAnsi="仿宋" w:eastAsia="仿宋" w:cs="华文楷体"/>
          <w:b/>
          <w:bCs/>
          <w:sz w:val="32"/>
          <w:szCs w:val="32"/>
        </w:rPr>
        <w:t>（一）对需经公平竞争审查出台的政策措施评估内容：</w:t>
      </w:r>
    </w:p>
    <w:p>
      <w:pPr>
        <w:ind w:firstLine="640"/>
        <w:rPr>
          <w:rFonts w:hint="eastAsia" w:ascii="仿宋" w:hAnsi="仿宋" w:eastAsia="仿宋" w:cs="仿宋_GB2312"/>
          <w:sz w:val="32"/>
          <w:szCs w:val="32"/>
        </w:rPr>
      </w:pPr>
      <w:r>
        <w:rPr>
          <w:rFonts w:hint="eastAsia" w:ascii="仿宋" w:hAnsi="仿宋" w:eastAsia="仿宋" w:cs="仿宋_GB2312"/>
          <w:sz w:val="32"/>
          <w:szCs w:val="32"/>
        </w:rPr>
        <w:t>1.是否按规定开展公平竞争自我审查并出具书面审查意见；</w:t>
      </w:r>
    </w:p>
    <w:p>
      <w:pPr>
        <w:ind w:firstLine="640"/>
        <w:rPr>
          <w:rFonts w:hint="eastAsia" w:ascii="仿宋" w:hAnsi="仿宋" w:eastAsia="仿宋" w:cs="仿宋_GB2312"/>
          <w:sz w:val="32"/>
          <w:szCs w:val="32"/>
        </w:rPr>
      </w:pPr>
      <w:r>
        <w:rPr>
          <w:rFonts w:hint="eastAsia" w:ascii="仿宋" w:hAnsi="仿宋" w:eastAsia="仿宋" w:cs="仿宋_GB2312"/>
          <w:sz w:val="32"/>
          <w:szCs w:val="32"/>
        </w:rPr>
        <w:t>2.未进行公平竞争审查或违反公平竞争审查标准出台的政策措施，是否及时补做公平竞争审查，废止或调整相关政策措施并向社会公告；</w:t>
      </w:r>
    </w:p>
    <w:p>
      <w:pPr>
        <w:ind w:firstLine="640"/>
        <w:rPr>
          <w:rFonts w:hint="eastAsia" w:ascii="仿宋" w:hAnsi="仿宋" w:eastAsia="仿宋" w:cs="仿宋_GB2312"/>
          <w:sz w:val="32"/>
          <w:szCs w:val="32"/>
        </w:rPr>
      </w:pPr>
      <w:r>
        <w:rPr>
          <w:rFonts w:hint="eastAsia" w:ascii="仿宋" w:hAnsi="仿宋" w:eastAsia="仿宋" w:cs="仿宋_GB2312"/>
          <w:sz w:val="32"/>
          <w:szCs w:val="32"/>
        </w:rPr>
        <w:t>3.此前做出的审查结论是否符合《意见》和《公平竞争审查制度实施细则（暂行）》（以下简称《实施细则》）要求；</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4.政策措施出台后是否产生新的排除、限制竞争问题；</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5.法律法规政策变动情况对政策措施实施的影响；</w:t>
      </w:r>
    </w:p>
    <w:p>
      <w:pPr>
        <w:ind w:firstLine="640"/>
        <w:rPr>
          <w:rFonts w:hint="eastAsia" w:ascii="仿宋" w:hAnsi="仿宋" w:eastAsia="仿宋" w:cs="仿宋_GB2312"/>
          <w:sz w:val="32"/>
          <w:szCs w:val="32"/>
        </w:rPr>
      </w:pPr>
      <w:r>
        <w:rPr>
          <w:rFonts w:hint="eastAsia" w:ascii="仿宋" w:hAnsi="仿宋" w:eastAsia="仿宋" w:cs="仿宋_GB2312"/>
          <w:sz w:val="32"/>
          <w:szCs w:val="32"/>
        </w:rPr>
        <w:t>6.对评估发现排除、限制竞争的政策措施提出调整建议。</w:t>
      </w:r>
    </w:p>
    <w:p>
      <w:pPr>
        <w:pStyle w:val="7"/>
        <w:spacing w:before="0" w:beforeAutospacing="0" w:after="0" w:afterAutospacing="0" w:line="560" w:lineRule="exact"/>
        <w:ind w:firstLine="420"/>
        <w:jc w:val="both"/>
        <w:textAlignment w:val="baseline"/>
        <w:rPr>
          <w:rFonts w:hint="eastAsia" w:ascii="仿宋" w:hAnsi="仿宋" w:eastAsia="仿宋" w:cs="华文楷体"/>
          <w:b/>
          <w:bCs/>
          <w:sz w:val="32"/>
          <w:szCs w:val="32"/>
        </w:rPr>
      </w:pPr>
      <w:r>
        <w:rPr>
          <w:rFonts w:hint="eastAsia" w:ascii="仿宋" w:hAnsi="仿宋" w:eastAsia="仿宋" w:cs="华文楷体"/>
          <w:b/>
          <w:bCs/>
          <w:sz w:val="32"/>
          <w:szCs w:val="32"/>
        </w:rPr>
        <w:t>（二）对公平竞争审查制度实施情况评估内容：</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1.工作部署落实情况，包括印发方案、建立机制、责任落实等；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2.增量政策措施审查情况，包括审查范围是否全面，审查流程是否规范、审查结论是否准确等；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3.存量政策措施清理情况，包括清理任务是否完成、清理范围是否全面、清理结果是否准确等；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4.制度实施成效，包括经审查调整政策措施的情况、经清理废止调整政策措施的情况，以及公平竞争审查在预防和纠正行政性垄断、维护市场公平竞争、促进经济高质量发展等方面的作用等；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5.总结分析制度实施中存在的问题，提炼可复制、可推广、能示范的制度性、机制性经验等；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6.利害关系人、社会公众等对制度实施情况的相关评价和意见建议等；</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7.其他与公平竞争审查工作相关的内容。</w:t>
      </w:r>
    </w:p>
    <w:p>
      <w:pPr>
        <w:pStyle w:val="7"/>
        <w:spacing w:before="0" w:beforeAutospacing="0" w:after="0" w:afterAutospacing="0" w:line="560" w:lineRule="exact"/>
        <w:ind w:firstLine="420"/>
        <w:jc w:val="both"/>
        <w:textAlignment w:val="baseline"/>
        <w:rPr>
          <w:rFonts w:hint="eastAsia" w:ascii="仿宋" w:hAnsi="仿宋" w:eastAsia="仿宋" w:cs="华文楷体"/>
          <w:b/>
          <w:bCs/>
          <w:sz w:val="32"/>
          <w:szCs w:val="32"/>
        </w:rPr>
      </w:pPr>
      <w:r>
        <w:rPr>
          <w:rFonts w:hint="eastAsia" w:ascii="仿宋" w:hAnsi="仿宋" w:eastAsia="仿宋" w:cs="华文楷体"/>
          <w:b/>
          <w:bCs/>
          <w:sz w:val="32"/>
          <w:szCs w:val="32"/>
        </w:rPr>
        <w:t>（三）对适用例外规定出台的政策措施评估内容：</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1.此前做出的适用例外规定结论是否符合《意见》要求；</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2.政策措施是否达到预期效果；</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3.政策措施出台后是否出现对竞争损害更小的替代方案；</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4.法律法规政策变动情况对政策措施实施的影响；</w:t>
      </w:r>
    </w:p>
    <w:p>
      <w:pPr>
        <w:ind w:firstLine="640"/>
        <w:rPr>
          <w:rFonts w:hint="eastAsia" w:ascii="仿宋" w:hAnsi="仿宋" w:eastAsia="仿宋" w:cs="仿宋_GB2312"/>
          <w:b/>
          <w:bCs/>
          <w:sz w:val="32"/>
          <w:szCs w:val="32"/>
        </w:rPr>
      </w:pPr>
      <w:r>
        <w:rPr>
          <w:rFonts w:hint="eastAsia" w:ascii="仿宋" w:hAnsi="仿宋" w:eastAsia="仿宋" w:cs="仿宋_GB2312"/>
          <w:sz w:val="32"/>
          <w:szCs w:val="32"/>
        </w:rPr>
        <w:t>5.对评估发现不符合例外规定的政策措施提出调整建议。</w:t>
      </w:r>
    </w:p>
    <w:p>
      <w:pPr>
        <w:pStyle w:val="7"/>
        <w:spacing w:before="0" w:beforeAutospacing="0" w:after="0" w:afterAutospacing="0" w:line="560" w:lineRule="exact"/>
        <w:ind w:firstLine="321" w:firstLineChars="100"/>
        <w:jc w:val="both"/>
        <w:textAlignment w:val="baseline"/>
        <w:rPr>
          <w:rFonts w:hint="eastAsia" w:ascii="仿宋" w:hAnsi="仿宋" w:eastAsia="仿宋" w:cs="华文楷体"/>
          <w:b/>
          <w:bCs/>
          <w:sz w:val="32"/>
          <w:szCs w:val="32"/>
        </w:rPr>
      </w:pPr>
      <w:r>
        <w:rPr>
          <w:rFonts w:hint="eastAsia" w:ascii="仿宋" w:hAnsi="仿宋" w:eastAsia="仿宋" w:cs="华文楷体"/>
          <w:b/>
          <w:bCs/>
          <w:sz w:val="32"/>
          <w:szCs w:val="32"/>
        </w:rPr>
        <w:t>（四）对拟出台的政策措施评估内容：</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1.是否涉及市场主体经济活动；</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2.是否违反公平竞争审查标准。如违反标准，分析对市场竞争的具体影响，并提出调整建议；</w:t>
      </w:r>
    </w:p>
    <w:p>
      <w:pPr>
        <w:pStyle w:val="7"/>
        <w:spacing w:before="0" w:beforeAutospacing="0" w:after="0" w:afterAutospacing="0" w:line="560" w:lineRule="exact"/>
        <w:ind w:firstLine="640" w:firstLineChars="200"/>
        <w:jc w:val="both"/>
        <w:textAlignment w:val="baseline"/>
        <w:rPr>
          <w:rFonts w:hint="eastAsia" w:ascii="仿宋" w:hAnsi="仿宋" w:eastAsia="仿宋" w:cs="仿宋_GB2312"/>
          <w:sz w:val="32"/>
          <w:szCs w:val="32"/>
        </w:rPr>
      </w:pPr>
      <w:r>
        <w:rPr>
          <w:rFonts w:hint="eastAsia" w:ascii="仿宋" w:hAnsi="仿宋" w:eastAsia="仿宋" w:cs="仿宋_GB2312"/>
          <w:sz w:val="32"/>
          <w:szCs w:val="32"/>
        </w:rPr>
        <w:t>3.是否符合适用例外规定的情形和条件。如不符合，提出调整建议。</w:t>
      </w:r>
    </w:p>
    <w:p>
      <w:pPr>
        <w:ind w:firstLine="643"/>
        <w:rPr>
          <w:rFonts w:hint="eastAsia" w:ascii="仿宋" w:hAnsi="仿宋" w:eastAsia="仿宋"/>
          <w:b/>
          <w:bCs/>
          <w:sz w:val="32"/>
          <w:szCs w:val="32"/>
        </w:rPr>
      </w:pPr>
      <w:r>
        <w:rPr>
          <w:rFonts w:hint="eastAsia" w:ascii="仿宋" w:hAnsi="仿宋" w:eastAsia="仿宋"/>
          <w:b/>
          <w:bCs/>
          <w:sz w:val="32"/>
          <w:szCs w:val="32"/>
        </w:rPr>
        <w:t>二、第三方评估组实地评估准备事项。</w:t>
      </w:r>
    </w:p>
    <w:p>
      <w:pPr>
        <w:ind w:firstLine="640"/>
        <w:rPr>
          <w:rFonts w:hint="eastAsia" w:ascii="仿宋" w:hAnsi="仿宋" w:eastAsia="仿宋"/>
          <w:sz w:val="32"/>
          <w:szCs w:val="32"/>
        </w:rPr>
      </w:pPr>
      <w:r>
        <w:rPr>
          <w:rFonts w:hint="eastAsia" w:ascii="仿宋" w:hAnsi="仿宋" w:eastAsia="仿宋"/>
          <w:sz w:val="32"/>
          <w:szCs w:val="32"/>
        </w:rPr>
        <w:t>我所将在采集数据、收集建议、实地评估的基础上科学分析各单位政策措施对竞争影响的基本趋势，得出是否造成或者可能造成扭曲竞争影响的结论，并提出对政策措施作出相应调整或竞争损害最小替代方案的评估意见，形成评估报告。请各成员单位提前准备好以下评估资料：</w:t>
      </w:r>
    </w:p>
    <w:p>
      <w:pPr>
        <w:ind w:firstLine="640"/>
        <w:rPr>
          <w:rFonts w:hint="eastAsia" w:ascii="仿宋" w:hAnsi="仿宋" w:eastAsia="仿宋"/>
          <w:sz w:val="32"/>
          <w:szCs w:val="32"/>
        </w:rPr>
      </w:pPr>
      <w:r>
        <w:rPr>
          <w:rFonts w:hint="eastAsia" w:ascii="仿宋" w:hAnsi="仿宋" w:eastAsia="仿宋"/>
          <w:sz w:val="32"/>
          <w:szCs w:val="32"/>
        </w:rPr>
        <w:t>（一）各单位建立内部审查机制、审查职责分工、审查人员配备、审查程序设计等情况。</w:t>
      </w:r>
    </w:p>
    <w:p>
      <w:pPr>
        <w:ind w:firstLine="640"/>
        <w:rPr>
          <w:rFonts w:hint="eastAsia" w:ascii="仿宋" w:hAnsi="仿宋" w:eastAsia="仿宋"/>
          <w:sz w:val="32"/>
          <w:szCs w:val="32"/>
        </w:rPr>
      </w:pPr>
      <w:r>
        <w:rPr>
          <w:rFonts w:hint="eastAsia" w:ascii="仿宋" w:hAnsi="仿宋" w:eastAsia="仿宋"/>
          <w:sz w:val="32"/>
          <w:szCs w:val="32"/>
        </w:rPr>
        <w:t>（二）政策措施清理审查情况。</w:t>
      </w:r>
      <w:r>
        <w:rPr>
          <w:rFonts w:hint="eastAsia" w:ascii="仿宋" w:hAnsi="仿宋" w:eastAsia="仿宋" w:cs="仿宋_GB2312"/>
          <w:sz w:val="32"/>
          <w:szCs w:val="32"/>
        </w:rPr>
        <w:t>提供2017年以来存量清理和增量审查工作台账。</w:t>
      </w:r>
    </w:p>
    <w:p>
      <w:pPr>
        <w:ind w:firstLine="640"/>
        <w:rPr>
          <w:rFonts w:hint="eastAsia" w:ascii="仿宋" w:hAnsi="仿宋" w:eastAsia="仿宋"/>
          <w:sz w:val="32"/>
          <w:szCs w:val="32"/>
        </w:rPr>
      </w:pPr>
      <w:r>
        <w:rPr>
          <w:rFonts w:hint="eastAsia" w:ascii="仿宋" w:hAnsi="仿宋" w:eastAsia="仿宋"/>
          <w:sz w:val="32"/>
          <w:szCs w:val="32"/>
        </w:rPr>
        <w:t>（三）审查结果公示情况。</w:t>
      </w:r>
    </w:p>
    <w:p>
      <w:pPr>
        <w:ind w:firstLine="640"/>
        <w:rPr>
          <w:rFonts w:hint="eastAsia" w:ascii="仿宋" w:hAnsi="仿宋" w:eastAsia="仿宋" w:cs="仿宋_GB2312"/>
          <w:sz w:val="32"/>
          <w:szCs w:val="32"/>
        </w:rPr>
      </w:pPr>
      <w:r>
        <w:rPr>
          <w:rFonts w:hint="eastAsia" w:ascii="仿宋" w:hAnsi="仿宋" w:eastAsia="仿宋" w:cs="仿宋_GB2312"/>
          <w:sz w:val="32"/>
          <w:szCs w:val="32"/>
        </w:rPr>
        <w:t>（四）文件目录。</w:t>
      </w:r>
    </w:p>
    <w:p>
      <w:pPr>
        <w:ind w:firstLine="640"/>
        <w:rPr>
          <w:rFonts w:hint="eastAsia" w:ascii="仿宋" w:hAnsi="仿宋" w:eastAsia="仿宋"/>
          <w:sz w:val="32"/>
          <w:szCs w:val="32"/>
        </w:rPr>
      </w:pPr>
      <w:r>
        <w:rPr>
          <w:rFonts w:hint="eastAsia" w:ascii="仿宋" w:hAnsi="仿宋" w:eastAsia="仿宋" w:cs="仿宋_GB2312"/>
          <w:sz w:val="32"/>
          <w:szCs w:val="32"/>
        </w:rPr>
        <w:t>1.各单位2017年以来</w:t>
      </w:r>
      <w:r>
        <w:rPr>
          <w:rFonts w:hint="eastAsia" w:ascii="仿宋" w:hAnsi="仿宋" w:eastAsia="仿宋" w:cs="仿宋_GB2312"/>
          <w:spacing w:val="8"/>
          <w:sz w:val="32"/>
          <w:szCs w:val="32"/>
          <w:shd w:val="clear" w:color="auto" w:fill="FFFFFF"/>
        </w:rPr>
        <w:t>已出台</w:t>
      </w:r>
      <w:r>
        <w:rPr>
          <w:rFonts w:hint="eastAsia" w:ascii="仿宋" w:hAnsi="仿宋" w:eastAsia="仿宋" w:cs="仿宋_GB2312"/>
          <w:sz w:val="32"/>
          <w:szCs w:val="32"/>
        </w:rPr>
        <w:t>（包括</w:t>
      </w:r>
      <w:r>
        <w:rPr>
          <w:rFonts w:hint="eastAsia" w:ascii="仿宋" w:hAnsi="仿宋" w:eastAsia="仿宋" w:cs="仿宋_GB2312"/>
          <w:spacing w:val="8"/>
          <w:sz w:val="32"/>
          <w:szCs w:val="32"/>
          <w:shd w:val="clear" w:color="auto" w:fill="FFFFFF"/>
        </w:rPr>
        <w:t>代政府出台</w:t>
      </w:r>
      <w:r>
        <w:rPr>
          <w:rFonts w:hint="eastAsia" w:ascii="仿宋" w:hAnsi="仿宋" w:eastAsia="仿宋" w:cs="仿宋_GB2312"/>
          <w:sz w:val="32"/>
          <w:szCs w:val="32"/>
        </w:rPr>
        <w:t>）的所有文件目录(原政策措施制定部门被撤销或者职能已调整的，由继续行使其职权的部门负责）。</w:t>
      </w:r>
    </w:p>
    <w:p>
      <w:pPr>
        <w:ind w:firstLine="640"/>
        <w:rPr>
          <w:rFonts w:hint="eastAsia" w:ascii="仿宋" w:hAnsi="仿宋" w:eastAsia="仿宋"/>
          <w:sz w:val="32"/>
          <w:szCs w:val="32"/>
        </w:rPr>
      </w:pPr>
      <w:r>
        <w:rPr>
          <w:rFonts w:hint="eastAsia" w:ascii="仿宋" w:hAnsi="仿宋" w:eastAsia="仿宋"/>
          <w:sz w:val="32"/>
          <w:szCs w:val="32"/>
        </w:rPr>
        <w:t>2.填报样式：以实际为准，不得漏报、瞒报。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605"/>
        <w:gridCol w:w="2025"/>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spacing w:line="520" w:lineRule="exact"/>
              <w:ind w:firstLine="422"/>
              <w:jc w:val="center"/>
              <w:rPr>
                <w:rFonts w:hint="eastAsia" w:ascii="仿宋" w:hAnsi="仿宋" w:eastAsia="仿宋"/>
                <w:b/>
                <w:bCs/>
              </w:rPr>
            </w:pPr>
            <w:r>
              <w:rPr>
                <w:rFonts w:hint="eastAsia" w:ascii="仿宋" w:hAnsi="仿宋" w:eastAsia="仿宋"/>
                <w:b/>
                <w:bCs/>
              </w:rPr>
              <w:t>文件名称</w:t>
            </w:r>
          </w:p>
        </w:tc>
        <w:tc>
          <w:tcPr>
            <w:tcW w:w="1605" w:type="dxa"/>
            <w:vAlign w:val="center"/>
          </w:tcPr>
          <w:p>
            <w:pPr>
              <w:spacing w:line="520" w:lineRule="exact"/>
              <w:ind w:firstLine="422"/>
              <w:jc w:val="center"/>
              <w:rPr>
                <w:rFonts w:hint="eastAsia" w:ascii="仿宋" w:hAnsi="仿宋" w:eastAsia="仿宋"/>
                <w:b/>
                <w:bCs/>
              </w:rPr>
            </w:pPr>
            <w:r>
              <w:rPr>
                <w:rFonts w:hint="eastAsia" w:ascii="仿宋" w:hAnsi="仿宋" w:eastAsia="仿宋"/>
                <w:b/>
                <w:bCs/>
              </w:rPr>
              <w:t>文件号</w:t>
            </w:r>
          </w:p>
        </w:tc>
        <w:tc>
          <w:tcPr>
            <w:tcW w:w="2025" w:type="dxa"/>
            <w:vAlign w:val="center"/>
          </w:tcPr>
          <w:p>
            <w:pPr>
              <w:spacing w:line="520" w:lineRule="exact"/>
              <w:ind w:firstLine="422"/>
              <w:jc w:val="center"/>
              <w:rPr>
                <w:rFonts w:hint="eastAsia" w:ascii="仿宋" w:hAnsi="仿宋" w:eastAsia="仿宋"/>
                <w:b/>
                <w:bCs/>
              </w:rPr>
            </w:pPr>
            <w:r>
              <w:rPr>
                <w:rFonts w:hint="eastAsia" w:ascii="仿宋" w:hAnsi="仿宋" w:eastAsia="仿宋"/>
                <w:b/>
                <w:bCs/>
              </w:rPr>
              <w:t>发布时间</w:t>
            </w:r>
          </w:p>
        </w:tc>
        <w:tc>
          <w:tcPr>
            <w:tcW w:w="2438" w:type="dxa"/>
            <w:vAlign w:val="center"/>
          </w:tcPr>
          <w:p>
            <w:pPr>
              <w:spacing w:line="520" w:lineRule="exact"/>
              <w:ind w:firstLine="1265" w:firstLineChars="600"/>
              <w:rPr>
                <w:rFonts w:hint="eastAsia"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spacing w:line="520" w:lineRule="exact"/>
              <w:ind w:firstLine="420"/>
              <w:jc w:val="center"/>
              <w:rPr>
                <w:rFonts w:hint="eastAsia" w:ascii="仿宋" w:hAnsi="仿宋" w:eastAsia="仿宋"/>
              </w:rPr>
            </w:pPr>
          </w:p>
        </w:tc>
        <w:tc>
          <w:tcPr>
            <w:tcW w:w="1605" w:type="dxa"/>
            <w:vAlign w:val="center"/>
          </w:tcPr>
          <w:p>
            <w:pPr>
              <w:spacing w:line="520" w:lineRule="exact"/>
              <w:ind w:firstLine="420"/>
              <w:jc w:val="center"/>
              <w:rPr>
                <w:rFonts w:hint="eastAsia" w:ascii="仿宋" w:hAnsi="仿宋" w:eastAsia="仿宋"/>
              </w:rPr>
            </w:pPr>
          </w:p>
        </w:tc>
        <w:tc>
          <w:tcPr>
            <w:tcW w:w="2025" w:type="dxa"/>
            <w:vAlign w:val="center"/>
          </w:tcPr>
          <w:p>
            <w:pPr>
              <w:spacing w:line="520" w:lineRule="exact"/>
              <w:ind w:firstLine="420"/>
              <w:jc w:val="center"/>
              <w:rPr>
                <w:rFonts w:hint="eastAsia" w:ascii="仿宋" w:hAnsi="仿宋" w:eastAsia="仿宋"/>
              </w:rPr>
            </w:pPr>
          </w:p>
        </w:tc>
        <w:tc>
          <w:tcPr>
            <w:tcW w:w="2438" w:type="dxa"/>
            <w:vAlign w:val="center"/>
          </w:tcPr>
          <w:p>
            <w:pPr>
              <w:spacing w:line="520" w:lineRule="exact"/>
              <w:ind w:firstLine="420"/>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spacing w:line="520" w:lineRule="exact"/>
              <w:ind w:firstLine="420"/>
              <w:jc w:val="center"/>
              <w:rPr>
                <w:rFonts w:hint="eastAsia" w:ascii="仿宋" w:hAnsi="仿宋" w:eastAsia="仿宋"/>
              </w:rPr>
            </w:pPr>
          </w:p>
        </w:tc>
        <w:tc>
          <w:tcPr>
            <w:tcW w:w="1605" w:type="dxa"/>
            <w:vAlign w:val="center"/>
          </w:tcPr>
          <w:p>
            <w:pPr>
              <w:spacing w:line="520" w:lineRule="exact"/>
              <w:ind w:firstLine="420"/>
              <w:jc w:val="center"/>
              <w:rPr>
                <w:rFonts w:hint="eastAsia" w:ascii="仿宋" w:hAnsi="仿宋" w:eastAsia="仿宋"/>
              </w:rPr>
            </w:pPr>
          </w:p>
        </w:tc>
        <w:tc>
          <w:tcPr>
            <w:tcW w:w="2025" w:type="dxa"/>
            <w:vAlign w:val="center"/>
          </w:tcPr>
          <w:p>
            <w:pPr>
              <w:spacing w:line="520" w:lineRule="exact"/>
              <w:ind w:firstLine="420"/>
              <w:jc w:val="center"/>
              <w:rPr>
                <w:rFonts w:hint="eastAsia" w:ascii="仿宋" w:hAnsi="仿宋" w:eastAsia="仿宋"/>
              </w:rPr>
            </w:pPr>
          </w:p>
        </w:tc>
        <w:tc>
          <w:tcPr>
            <w:tcW w:w="2438" w:type="dxa"/>
            <w:vAlign w:val="center"/>
          </w:tcPr>
          <w:p>
            <w:pPr>
              <w:spacing w:line="520" w:lineRule="exact"/>
              <w:ind w:firstLine="420"/>
              <w:jc w:val="center"/>
              <w:rPr>
                <w:rFonts w:hint="eastAsia" w:ascii="仿宋" w:hAnsi="仿宋" w:eastAsia="仿宋"/>
              </w:rPr>
            </w:pPr>
          </w:p>
        </w:tc>
      </w:tr>
    </w:tbl>
    <w:p>
      <w:pPr>
        <w:ind w:firstLine="640"/>
        <w:rPr>
          <w:rFonts w:hint="eastAsia" w:ascii="仿宋" w:hAnsi="仿宋" w:eastAsia="仿宋" w:cs="仿宋_GB2312"/>
          <w:sz w:val="32"/>
          <w:szCs w:val="32"/>
        </w:rPr>
      </w:pPr>
      <w:r>
        <w:rPr>
          <w:rFonts w:hint="eastAsia" w:ascii="仿宋" w:hAnsi="仿宋" w:eastAsia="仿宋"/>
          <w:sz w:val="32"/>
          <w:szCs w:val="32"/>
        </w:rPr>
        <w:t>各单位于2020年10月12日前将此表报送到</w:t>
      </w:r>
      <w:r>
        <w:rPr>
          <w:rFonts w:hint="eastAsia" w:ascii="仿宋" w:hAnsi="仿宋" w:eastAsia="仿宋" w:cs="仿宋_GB2312"/>
          <w:sz w:val="32"/>
          <w:szCs w:val="32"/>
        </w:rPr>
        <w:t>邮箱：</w:t>
      </w:r>
      <w:r>
        <w:fldChar w:fldCharType="begin"/>
      </w:r>
      <w:r>
        <w:instrText xml:space="preserve"> HYPERLINK "mailto:zhwangmu@163.com" </w:instrText>
      </w:r>
      <w:r>
        <w:fldChar w:fldCharType="separate"/>
      </w:r>
      <w:r>
        <w:rPr>
          <w:rStyle w:val="12"/>
          <w:rFonts w:hint="eastAsia" w:ascii="仿宋" w:hAnsi="仿宋" w:eastAsia="仿宋" w:cs="仿宋_GB2312"/>
          <w:sz w:val="32"/>
          <w:szCs w:val="32"/>
        </w:rPr>
        <w:t>435389383@qq.com</w:t>
      </w:r>
      <w:r>
        <w:rPr>
          <w:rStyle w:val="12"/>
          <w:rFonts w:hint="eastAsia" w:ascii="仿宋" w:hAnsi="仿宋" w:eastAsia="仿宋" w:cs="仿宋_GB2312"/>
          <w:sz w:val="32"/>
          <w:szCs w:val="32"/>
        </w:rPr>
        <w:fldChar w:fldCharType="end"/>
      </w:r>
      <w:r>
        <w:rPr>
          <w:rFonts w:hint="eastAsia" w:ascii="仿宋" w:hAnsi="仿宋" w:eastAsia="仿宋" w:cs="仿宋_GB2312"/>
          <w:sz w:val="32"/>
          <w:szCs w:val="32"/>
        </w:rPr>
        <w:t>。</w:t>
      </w:r>
    </w:p>
    <w:p>
      <w:pPr>
        <w:ind w:firstLine="643"/>
        <w:rPr>
          <w:rFonts w:hint="eastAsia" w:ascii="仿宋" w:hAnsi="仿宋" w:eastAsia="仿宋" w:cs="黑体"/>
          <w:b/>
          <w:sz w:val="32"/>
          <w:szCs w:val="32"/>
        </w:rPr>
      </w:pPr>
      <w:r>
        <w:rPr>
          <w:rFonts w:hint="eastAsia" w:ascii="仿宋" w:hAnsi="仿宋" w:eastAsia="仿宋" w:cs="黑体"/>
          <w:b/>
          <w:sz w:val="32"/>
          <w:szCs w:val="32"/>
        </w:rPr>
        <w:t>三、第三方评估联系人</w:t>
      </w:r>
    </w:p>
    <w:p>
      <w:pPr>
        <w:ind w:firstLine="640"/>
        <w:rPr>
          <w:rFonts w:hint="eastAsia" w:ascii="仿宋" w:hAnsi="仿宋" w:eastAsia="仿宋" w:cs="仿宋_GB2312"/>
          <w:sz w:val="32"/>
          <w:szCs w:val="32"/>
        </w:rPr>
      </w:pPr>
      <w:r>
        <w:rPr>
          <w:rFonts w:hint="eastAsia" w:ascii="仿宋" w:hAnsi="仿宋" w:eastAsia="仿宋" w:cs="仿宋_GB2312"/>
          <w:sz w:val="32"/>
          <w:szCs w:val="32"/>
        </w:rPr>
        <w:t>第三方评估机构日常工作联系人：胡什兵，电话13034442569。</w:t>
      </w:r>
    </w:p>
    <w:p>
      <w:pPr>
        <w:ind w:firstLine="640"/>
        <w:rPr>
          <w:rFonts w:hint="eastAsia" w:ascii="仿宋" w:hAnsi="仿宋" w:eastAsia="仿宋" w:cs="仿宋_GB2312"/>
          <w:sz w:val="32"/>
          <w:szCs w:val="32"/>
        </w:rPr>
      </w:pPr>
      <w:r>
        <w:rPr>
          <w:rFonts w:hint="eastAsia" w:ascii="仿宋" w:hAnsi="仿宋" w:eastAsia="仿宋" w:cs="仿宋_GB2312"/>
          <w:sz w:val="32"/>
          <w:szCs w:val="32"/>
        </w:rPr>
        <w:t>特此通知。请各成员单位给予配合。</w:t>
      </w:r>
    </w:p>
    <w:p>
      <w:pPr>
        <w:ind w:firstLine="640"/>
        <w:rPr>
          <w:rFonts w:hint="eastAsia" w:ascii="仿宋" w:hAnsi="仿宋" w:eastAsia="仿宋" w:cs="仿宋_GB2312"/>
          <w:sz w:val="32"/>
          <w:szCs w:val="32"/>
        </w:rPr>
      </w:pPr>
    </w:p>
    <w:p>
      <w:pPr>
        <w:tabs>
          <w:tab w:val="left" w:pos="5325"/>
        </w:tabs>
        <w:ind w:firstLine="640"/>
        <w:rPr>
          <w:rFonts w:hint="eastAsia" w:ascii="仿宋" w:hAnsi="仿宋" w:eastAsia="仿宋" w:cs="仿宋_GB2312"/>
          <w:sz w:val="32"/>
          <w:szCs w:val="32"/>
        </w:rPr>
      </w:pPr>
      <w:r>
        <w:rPr>
          <w:rFonts w:hint="eastAsia" w:ascii="仿宋" w:hAnsi="仿宋" w:eastAsia="仿宋" w:cs="仿宋_GB2312"/>
          <w:sz w:val="32"/>
          <w:szCs w:val="32"/>
        </w:rPr>
        <w:tab/>
      </w:r>
    </w:p>
    <w:p>
      <w:pPr>
        <w:tabs>
          <w:tab w:val="left" w:pos="5325"/>
        </w:tabs>
        <w:ind w:firstLine="5120" w:firstLineChars="1600"/>
        <w:rPr>
          <w:rFonts w:hint="eastAsia" w:ascii="仿宋" w:hAnsi="仿宋" w:eastAsia="仿宋" w:cs="仿宋_GB2312"/>
          <w:sz w:val="32"/>
          <w:szCs w:val="32"/>
        </w:rPr>
      </w:pPr>
      <w:r>
        <w:rPr>
          <w:rFonts w:hint="eastAsia" w:ascii="仿宋" w:hAnsi="仿宋" w:eastAsia="仿宋" w:cs="仿宋_GB2312"/>
          <w:sz w:val="32"/>
          <w:szCs w:val="32"/>
        </w:rPr>
        <w:t>湖北伸道律师事务所</w:t>
      </w:r>
    </w:p>
    <w:p>
      <w:pPr>
        <w:tabs>
          <w:tab w:val="left" w:pos="5535"/>
        </w:tabs>
        <w:ind w:firstLine="640"/>
        <w:rPr>
          <w:rFonts w:hint="eastAsia" w:ascii="仿宋" w:hAnsi="仿宋" w:eastAsia="仿宋" w:cs="仿宋_GB2312"/>
          <w:sz w:val="32"/>
          <w:szCs w:val="32"/>
        </w:rPr>
      </w:pPr>
      <w:r>
        <w:rPr>
          <w:rFonts w:hint="eastAsia" w:ascii="仿宋" w:hAnsi="仿宋" w:eastAsia="仿宋" w:cs="仿宋_GB2312"/>
          <w:sz w:val="32"/>
          <w:szCs w:val="32"/>
        </w:rPr>
        <w:tab/>
      </w:r>
      <w:r>
        <w:rPr>
          <w:rFonts w:hint="eastAsia" w:ascii="仿宋" w:hAnsi="仿宋" w:eastAsia="仿宋" w:cs="仿宋_GB2312"/>
          <w:sz w:val="32"/>
          <w:szCs w:val="32"/>
        </w:rPr>
        <w:t>2020年10月10日</w:t>
      </w:r>
    </w:p>
    <w:p>
      <w:pPr>
        <w:ind w:firstLine="130" w:firstLineChars="62"/>
        <w:rPr>
          <w:rFonts w:hint="eastAsia"/>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tbl>
      <w:tblPr>
        <w:tblStyle w:val="8"/>
        <w:tblW w:w="13060" w:type="dxa"/>
        <w:tblInd w:w="93" w:type="dxa"/>
        <w:tblLayout w:type="fixed"/>
        <w:tblCellMar>
          <w:top w:w="0" w:type="dxa"/>
          <w:left w:w="108" w:type="dxa"/>
          <w:bottom w:w="0" w:type="dxa"/>
          <w:right w:w="108" w:type="dxa"/>
        </w:tblCellMar>
      </w:tblPr>
      <w:tblGrid>
        <w:gridCol w:w="683"/>
        <w:gridCol w:w="3247"/>
        <w:gridCol w:w="1614"/>
        <w:gridCol w:w="1072"/>
        <w:gridCol w:w="1196"/>
        <w:gridCol w:w="1239"/>
        <w:gridCol w:w="2031"/>
        <w:gridCol w:w="1978"/>
      </w:tblGrid>
      <w:tr>
        <w:tblPrEx>
          <w:tblCellMar>
            <w:top w:w="0" w:type="dxa"/>
            <w:left w:w="108" w:type="dxa"/>
            <w:bottom w:w="0" w:type="dxa"/>
            <w:right w:w="108" w:type="dxa"/>
          </w:tblCellMar>
        </w:tblPrEx>
        <w:trPr>
          <w:trHeight w:val="559" w:hRule="atLeast"/>
        </w:trPr>
        <w:tc>
          <w:tcPr>
            <w:tcW w:w="13060" w:type="dxa"/>
            <w:gridSpan w:val="8"/>
            <w:tcBorders>
              <w:top w:val="nil"/>
              <w:left w:val="nil"/>
              <w:bottom w:val="nil"/>
              <w:right w:val="nil"/>
            </w:tcBorders>
            <w:shd w:val="clear" w:color="auto" w:fill="auto"/>
            <w:vAlign w:val="center"/>
          </w:tcPr>
          <w:p>
            <w:pPr>
              <w:widowControl/>
              <w:spacing w:line="240" w:lineRule="auto"/>
              <w:ind w:firstLine="0" w:firstLineChars="0"/>
              <w:jc w:val="left"/>
              <w:rPr>
                <w:rFonts w:hint="eastAsia" w:ascii="仿宋" w:hAnsi="仿宋" w:eastAsia="仿宋" w:cs="宋体"/>
                <w:b/>
                <w:kern w:val="0"/>
                <w:sz w:val="32"/>
                <w:szCs w:val="32"/>
              </w:rPr>
            </w:pPr>
          </w:p>
          <w:p>
            <w:pPr>
              <w:widowControl/>
              <w:spacing w:line="240" w:lineRule="auto"/>
              <w:ind w:firstLine="0" w:firstLineChars="0"/>
              <w:jc w:val="left"/>
              <w:rPr>
                <w:rFonts w:hint="eastAsia" w:ascii="仿宋" w:hAnsi="仿宋" w:eastAsia="仿宋" w:cs="宋体"/>
                <w:b/>
                <w:kern w:val="0"/>
                <w:sz w:val="32"/>
                <w:szCs w:val="32"/>
              </w:rPr>
            </w:pPr>
          </w:p>
          <w:p>
            <w:pPr>
              <w:widowControl/>
              <w:spacing w:line="240" w:lineRule="auto"/>
              <w:ind w:firstLine="0" w:firstLineChars="0"/>
              <w:jc w:val="left"/>
              <w:rPr>
                <w:rFonts w:hint="eastAsia" w:ascii="仿宋" w:hAnsi="仿宋" w:eastAsia="仿宋" w:cs="宋体"/>
                <w:b/>
                <w:kern w:val="0"/>
                <w:sz w:val="32"/>
                <w:szCs w:val="32"/>
              </w:rPr>
            </w:pPr>
          </w:p>
          <w:p>
            <w:pPr>
              <w:widowControl/>
              <w:spacing w:line="240" w:lineRule="auto"/>
              <w:ind w:firstLine="0" w:firstLineChars="0"/>
              <w:jc w:val="left"/>
              <w:rPr>
                <w:rFonts w:ascii="宋体" w:hAnsi="宋体" w:cs="宋体"/>
                <w:b/>
                <w:bCs/>
                <w:color w:val="000000"/>
                <w:kern w:val="0"/>
                <w:sz w:val="32"/>
                <w:szCs w:val="32"/>
              </w:rPr>
            </w:pPr>
            <w:r>
              <w:rPr>
                <w:rFonts w:hint="eastAsia" w:ascii="仿宋" w:hAnsi="仿宋" w:eastAsia="仿宋" w:cs="宋体"/>
                <w:b/>
                <w:kern w:val="0"/>
                <w:sz w:val="32"/>
                <w:szCs w:val="32"/>
              </w:rPr>
              <w:t xml:space="preserve">附件3：         </w:t>
            </w:r>
            <w:r>
              <w:rPr>
                <w:rFonts w:hint="eastAsia" w:ascii="宋体" w:hAnsi="宋体" w:cs="宋体"/>
                <w:b/>
                <w:bCs/>
                <w:color w:val="000000"/>
                <w:kern w:val="0"/>
                <w:sz w:val="32"/>
                <w:szCs w:val="32"/>
              </w:rPr>
              <w:t xml:space="preserve">  湖北伸道律师事务所</w:t>
            </w:r>
          </w:p>
        </w:tc>
      </w:tr>
      <w:tr>
        <w:tblPrEx>
          <w:tblCellMar>
            <w:top w:w="0" w:type="dxa"/>
            <w:left w:w="108" w:type="dxa"/>
            <w:bottom w:w="0" w:type="dxa"/>
            <w:right w:w="108" w:type="dxa"/>
          </w:tblCellMar>
        </w:tblPrEx>
        <w:trPr>
          <w:trHeight w:val="559" w:hRule="atLeast"/>
        </w:trPr>
        <w:tc>
          <w:tcPr>
            <w:tcW w:w="9051" w:type="dxa"/>
            <w:gridSpan w:val="6"/>
            <w:tcBorders>
              <w:top w:val="nil"/>
              <w:left w:val="nil"/>
              <w:bottom w:val="nil"/>
              <w:right w:val="nil"/>
            </w:tcBorders>
            <w:shd w:val="clear" w:color="auto" w:fill="auto"/>
            <w:vAlign w:val="center"/>
          </w:tcPr>
          <w:p>
            <w:pPr>
              <w:widowControl/>
              <w:spacing w:line="240" w:lineRule="auto"/>
              <w:ind w:firstLine="0" w:firstLineChars="0"/>
              <w:jc w:val="center"/>
              <w:rPr>
                <w:rFonts w:ascii="宋体" w:hAnsi="宋体" w:cs="宋体"/>
                <w:b/>
                <w:bCs/>
                <w:color w:val="000000"/>
                <w:kern w:val="0"/>
                <w:sz w:val="32"/>
                <w:szCs w:val="32"/>
              </w:rPr>
            </w:pPr>
            <w:r>
              <w:rPr>
                <w:rFonts w:hint="eastAsia" w:ascii="宋体" w:hAnsi="宋体" w:cs="宋体"/>
                <w:b/>
                <w:bCs/>
                <w:color w:val="000000"/>
                <w:kern w:val="0"/>
                <w:sz w:val="32"/>
                <w:szCs w:val="32"/>
              </w:rPr>
              <w:t>公平竞争审查第三方评估实地调研日程表</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2"/>
                <w:szCs w:val="3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2"/>
                <w:szCs w:val="32"/>
              </w:rPr>
            </w:pPr>
          </w:p>
        </w:tc>
      </w:tr>
      <w:tr>
        <w:tblPrEx>
          <w:tblCellMar>
            <w:top w:w="0" w:type="dxa"/>
            <w:left w:w="108" w:type="dxa"/>
            <w:bottom w:w="0" w:type="dxa"/>
            <w:right w:w="108" w:type="dxa"/>
          </w:tblCellMar>
        </w:tblPrEx>
        <w:trPr>
          <w:trHeight w:val="402" w:hRule="atLeast"/>
        </w:trPr>
        <w:tc>
          <w:tcPr>
            <w:tcW w:w="683"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3247"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2686" w:type="dxa"/>
            <w:gridSpan w:val="2"/>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1196"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1239"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36"/>
                <w:szCs w:val="36"/>
              </w:rPr>
            </w:pPr>
          </w:p>
        </w:tc>
      </w:tr>
      <w:tr>
        <w:tblPrEx>
          <w:tblCellMar>
            <w:top w:w="0" w:type="dxa"/>
            <w:left w:w="108" w:type="dxa"/>
            <w:bottom w:w="0" w:type="dxa"/>
            <w:right w:w="108" w:type="dxa"/>
          </w:tblCellMar>
        </w:tblPrEx>
        <w:trPr>
          <w:trHeight w:val="559" w:hRule="atLeast"/>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324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被调研单位</w:t>
            </w:r>
          </w:p>
        </w:tc>
        <w:tc>
          <w:tcPr>
            <w:tcW w:w="388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调研时间</w:t>
            </w:r>
          </w:p>
        </w:tc>
        <w:tc>
          <w:tcPr>
            <w:tcW w:w="12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2"/>
              </w:rPr>
            </w:pPr>
            <w:r>
              <w:rPr>
                <w:rFonts w:hint="eastAsia" w:ascii="宋体" w:hAnsi="宋体" w:cs="宋体"/>
                <w:b/>
                <w:bCs/>
                <w:color w:val="000000"/>
                <w:kern w:val="0"/>
                <w:sz w:val="22"/>
              </w:rPr>
              <w:t>备注</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市司法局</w:t>
            </w:r>
          </w:p>
        </w:tc>
        <w:tc>
          <w:tcPr>
            <w:tcW w:w="1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2020年10月23日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人民银行鄂州中心支行</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10:30-11:30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市自然资源和规划局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14:30-15:30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市交通运输局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16:00-17:00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鄂州银监分局</w:t>
            </w:r>
          </w:p>
        </w:tc>
        <w:tc>
          <w:tcPr>
            <w:tcW w:w="1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2020年10月26日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市教育局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10:30-11:30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市发改委</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14:30-15:30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市生态环境局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16:00-17:00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市经济和信息化局</w:t>
            </w:r>
          </w:p>
        </w:tc>
        <w:tc>
          <w:tcPr>
            <w:tcW w:w="1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2020年10月27日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市文化和旅游局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10:30-11:30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市民政局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14:30-15:30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市水利和湖泊局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16:00-17:00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市财政局</w:t>
            </w:r>
          </w:p>
        </w:tc>
        <w:tc>
          <w:tcPr>
            <w:tcW w:w="1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2020年10月28日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3247"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市国资委</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10:30-11:30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324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市农业农村局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14:30-15:30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市科学技术局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16:00-17:00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市住房和城乡建设局</w:t>
            </w:r>
          </w:p>
        </w:tc>
        <w:tc>
          <w:tcPr>
            <w:tcW w:w="16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2020年10月29日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市卫生健康委员会</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10:30-11:30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市税务局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14:30-15:30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市商务局</w:t>
            </w:r>
          </w:p>
        </w:tc>
        <w:tc>
          <w:tcPr>
            <w:tcW w:w="1614"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4"/>
                <w:szCs w:val="24"/>
              </w:rPr>
            </w:pP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16:00-17:00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10" w:hRule="atLeast"/>
        </w:trPr>
        <w:tc>
          <w:tcPr>
            <w:tcW w:w="68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32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市市场监督管理局</w:t>
            </w:r>
          </w:p>
        </w:tc>
        <w:tc>
          <w:tcPr>
            <w:tcW w:w="16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2020年10月30日</w:t>
            </w:r>
          </w:p>
        </w:tc>
        <w:tc>
          <w:tcPr>
            <w:tcW w:w="2268"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9:00-10:00</w:t>
            </w:r>
          </w:p>
        </w:tc>
        <w:tc>
          <w:tcPr>
            <w:tcW w:w="123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r>
        <w:tblPrEx>
          <w:tblCellMar>
            <w:top w:w="0" w:type="dxa"/>
            <w:left w:w="108" w:type="dxa"/>
            <w:bottom w:w="0" w:type="dxa"/>
            <w:right w:w="108" w:type="dxa"/>
          </w:tblCellMar>
        </w:tblPrEx>
        <w:trPr>
          <w:trHeight w:val="559" w:hRule="atLeast"/>
        </w:trPr>
        <w:tc>
          <w:tcPr>
            <w:tcW w:w="9051" w:type="dxa"/>
            <w:gridSpan w:val="6"/>
            <w:tcBorders>
              <w:top w:val="single" w:color="auto" w:sz="4" w:space="0"/>
              <w:left w:val="nil"/>
              <w:bottom w:val="nil"/>
              <w:right w:val="nil"/>
            </w:tcBorders>
            <w:shd w:val="clear" w:color="auto" w:fill="auto"/>
            <w:vAlign w:val="center"/>
          </w:tcPr>
          <w:p>
            <w:pPr>
              <w:widowControl/>
              <w:spacing w:line="240" w:lineRule="auto"/>
              <w:ind w:firstLine="0" w:firstLineChars="0"/>
              <w:jc w:val="left"/>
              <w:rPr>
                <w:rFonts w:ascii="宋体" w:hAnsi="宋体" w:cs="宋体"/>
                <w:b/>
                <w:bCs/>
                <w:color w:val="000000"/>
                <w:kern w:val="0"/>
                <w:sz w:val="22"/>
              </w:rPr>
            </w:pPr>
            <w:r>
              <w:rPr>
                <w:rFonts w:hint="eastAsia" w:ascii="宋体" w:hAnsi="宋体" w:cs="宋体"/>
                <w:b/>
                <w:bCs/>
                <w:color w:val="000000"/>
                <w:kern w:val="0"/>
                <w:sz w:val="22"/>
              </w:rPr>
              <w:t>请上述单位提前做好准备、接待工作，调研时间如有变动另行通知。</w:t>
            </w:r>
          </w:p>
        </w:tc>
        <w:tc>
          <w:tcPr>
            <w:tcW w:w="2031"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c>
          <w:tcPr>
            <w:tcW w:w="1978" w:type="dxa"/>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cs="宋体"/>
                <w:color w:val="000000"/>
                <w:kern w:val="0"/>
                <w:sz w:val="22"/>
              </w:rPr>
            </w:pPr>
          </w:p>
        </w:tc>
      </w:tr>
    </w:tbl>
    <w:p>
      <w:pPr>
        <w:spacing w:afterLines="50"/>
        <w:ind w:left="1063" w:hanging="1063" w:hangingChars="378"/>
        <w:rPr>
          <w:rFonts w:hint="eastAsia" w:ascii="黑体" w:hAnsi="黑体" w:eastAsia="黑体" w:cs="黑体"/>
          <w:b/>
          <w:bCs/>
          <w:sz w:val="28"/>
          <w:szCs w:val="28"/>
        </w:rPr>
      </w:pPr>
      <w:r>
        <w:rPr>
          <w:rFonts w:hint="eastAsia" w:ascii="黑体" w:hAnsi="黑体" w:eastAsia="黑体" w:cs="黑体"/>
          <w:b/>
          <w:bCs/>
          <w:sz w:val="28"/>
          <w:szCs w:val="28"/>
        </w:rPr>
        <w:t>附件4：</w:t>
      </w:r>
      <w:r>
        <w:rPr>
          <w:rFonts w:hint="eastAsia" w:ascii="黑体" w:hAnsi="黑体" w:eastAsia="黑体" w:cs="楷体"/>
          <w:b/>
          <w:bCs/>
          <w:sz w:val="28"/>
          <w:szCs w:val="28"/>
        </w:rPr>
        <w:t>第三方评估涉及的政策措施、问卷数量汇总（单位：份）</w:t>
      </w:r>
    </w:p>
    <w:tbl>
      <w:tblPr>
        <w:tblStyle w:val="8"/>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85"/>
        <w:gridCol w:w="1212"/>
        <w:gridCol w:w="1304"/>
        <w:gridCol w:w="1304"/>
        <w:gridCol w:w="130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7" w:type="dxa"/>
            <w:shd w:val="clear" w:color="auto" w:fill="FFFFFF"/>
          </w:tcPr>
          <w:p>
            <w:pPr>
              <w:ind w:firstLine="0" w:firstLineChars="0"/>
              <w:rPr>
                <w:rFonts w:hint="eastAsia" w:ascii="仿宋" w:hAnsi="仿宋" w:eastAsia="仿宋"/>
                <w:b/>
                <w:color w:val="000000"/>
                <w:sz w:val="24"/>
                <w:szCs w:val="24"/>
              </w:rPr>
            </w:pPr>
            <w:r>
              <w:rPr>
                <w:rFonts w:hint="eastAsia" w:ascii="仿宋" w:hAnsi="仿宋" w:eastAsia="仿宋"/>
                <w:b/>
                <w:color w:val="000000"/>
                <w:sz w:val="24"/>
                <w:szCs w:val="24"/>
              </w:rPr>
              <w:t>序号</w:t>
            </w:r>
          </w:p>
        </w:tc>
        <w:tc>
          <w:tcPr>
            <w:tcW w:w="1985" w:type="dxa"/>
            <w:shd w:val="clear" w:color="auto" w:fill="FFFFFF"/>
          </w:tcPr>
          <w:p>
            <w:pPr>
              <w:ind w:firstLine="0" w:firstLineChars="0"/>
              <w:jc w:val="center"/>
              <w:rPr>
                <w:rFonts w:hint="eastAsia" w:ascii="仿宋" w:hAnsi="仿宋" w:eastAsia="仿宋"/>
                <w:b/>
                <w:color w:val="000000"/>
                <w:sz w:val="24"/>
                <w:szCs w:val="24"/>
              </w:rPr>
            </w:pPr>
          </w:p>
          <w:p>
            <w:pPr>
              <w:ind w:firstLine="0" w:firstLineChars="0"/>
              <w:jc w:val="center"/>
              <w:rPr>
                <w:rFonts w:ascii="仿宋" w:hAnsi="仿宋" w:eastAsia="仿宋"/>
                <w:b/>
                <w:color w:val="000000"/>
                <w:sz w:val="24"/>
                <w:szCs w:val="24"/>
              </w:rPr>
            </w:pPr>
            <w:r>
              <w:rPr>
                <w:rFonts w:hint="eastAsia" w:ascii="仿宋" w:hAnsi="仿宋" w:eastAsia="仿宋"/>
                <w:b/>
                <w:color w:val="000000"/>
                <w:sz w:val="24"/>
                <w:szCs w:val="24"/>
              </w:rPr>
              <w:t>单位名称</w:t>
            </w:r>
          </w:p>
        </w:tc>
        <w:tc>
          <w:tcPr>
            <w:tcW w:w="1212" w:type="dxa"/>
            <w:shd w:val="clear" w:color="auto" w:fill="FFFFFF"/>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政策措施数量</w:t>
            </w:r>
          </w:p>
        </w:tc>
        <w:tc>
          <w:tcPr>
            <w:tcW w:w="1304" w:type="dxa"/>
            <w:shd w:val="clear" w:color="auto" w:fill="FFFFFF"/>
          </w:tcPr>
          <w:p>
            <w:pPr>
              <w:ind w:firstLine="0" w:firstLineChars="0"/>
              <w:rPr>
                <w:rFonts w:hint="eastAsia" w:ascii="仿宋" w:hAnsi="仿宋" w:eastAsia="仿宋"/>
                <w:b/>
                <w:color w:val="000000"/>
                <w:szCs w:val="21"/>
              </w:rPr>
            </w:pPr>
            <w:r>
              <w:rPr>
                <w:rFonts w:hint="eastAsia" w:ascii="仿宋" w:hAnsi="仿宋" w:eastAsia="仿宋"/>
                <w:b/>
                <w:color w:val="000000"/>
                <w:szCs w:val="21"/>
              </w:rPr>
              <w:t>涉及市场主体经济活动的政策措施</w:t>
            </w:r>
          </w:p>
        </w:tc>
        <w:tc>
          <w:tcPr>
            <w:tcW w:w="1304" w:type="dxa"/>
            <w:shd w:val="clear" w:color="auto" w:fill="FFFFFF"/>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第三方评估审查数量</w:t>
            </w:r>
          </w:p>
        </w:tc>
        <w:tc>
          <w:tcPr>
            <w:tcW w:w="1304" w:type="dxa"/>
            <w:shd w:val="clear" w:color="auto" w:fill="FFFFFF"/>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涉嫌限制、排除竞争文件数量</w:t>
            </w:r>
          </w:p>
        </w:tc>
        <w:tc>
          <w:tcPr>
            <w:tcW w:w="780" w:type="dxa"/>
            <w:shd w:val="clear" w:color="auto" w:fill="FFFFFF"/>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是否填写调研问卷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市发改委</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1</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市经信委</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250</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15</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市教育局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85</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15</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市科技局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7</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3</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市民政局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358</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市财政局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1759</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10</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市自然资源和规划局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1330</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7</w:t>
            </w:r>
          </w:p>
        </w:tc>
        <w:tc>
          <w:tcPr>
            <w:tcW w:w="780" w:type="dxa"/>
            <w:shd w:val="clear" w:color="auto" w:fill="FFFFFF"/>
            <w:vAlign w:val="center"/>
          </w:tcPr>
          <w:p>
            <w:pPr>
              <w:ind w:firstLine="120" w:firstLineChars="50"/>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市生态环境局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75</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16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199" w:firstLineChars="83"/>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市住建局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578</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48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3</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市交通运输局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366</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市水利和湖泊局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10</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市农业农村局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589</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市文化和旅游局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市卫健委</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587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15</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市国资委</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160</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市税务局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17</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市市场监督管理局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685</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40</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市司法局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196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8</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人行鄂州市中心支行</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12</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16</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1985" w:type="dxa"/>
            <w:shd w:val="clear" w:color="auto" w:fill="FFFFFF"/>
          </w:tcPr>
          <w:p>
            <w:pPr>
              <w:ind w:firstLine="0" w:firstLineChars="0"/>
              <w:jc w:val="left"/>
              <w:rPr>
                <w:rFonts w:ascii="仿宋" w:hAnsi="仿宋" w:eastAsia="仿宋"/>
                <w:color w:val="000000"/>
                <w:sz w:val="24"/>
                <w:szCs w:val="24"/>
              </w:rPr>
            </w:pPr>
            <w:r>
              <w:rPr>
                <w:rFonts w:hint="eastAsia" w:ascii="仿宋" w:hAnsi="仿宋" w:eastAsia="仿宋"/>
                <w:color w:val="000000"/>
                <w:sz w:val="24"/>
                <w:szCs w:val="24"/>
              </w:rPr>
              <w:t>鄂州银保监分局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437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4</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0</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1985" w:type="dxa"/>
            <w:shd w:val="clear" w:color="auto" w:fill="FFFFFF"/>
            <w:vAlign w:val="center"/>
          </w:tcPr>
          <w:p>
            <w:pPr>
              <w:ind w:firstLine="0" w:firstLineChars="0"/>
              <w:jc w:val="left"/>
              <w:rPr>
                <w:rFonts w:ascii="仿宋" w:hAnsi="仿宋" w:eastAsia="仿宋" w:cs="宋体"/>
                <w:color w:val="000000"/>
                <w:sz w:val="24"/>
                <w:szCs w:val="24"/>
              </w:rPr>
            </w:pPr>
            <w:r>
              <w:rPr>
                <w:rFonts w:hint="eastAsia" w:ascii="仿宋" w:hAnsi="仿宋" w:eastAsia="仿宋"/>
                <w:color w:val="000000"/>
                <w:sz w:val="24"/>
                <w:szCs w:val="24"/>
              </w:rPr>
              <w:t>市商务局</w:t>
            </w:r>
          </w:p>
        </w:tc>
        <w:tc>
          <w:tcPr>
            <w:tcW w:w="1212"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11</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14</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3</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shd w:val="clear" w:color="auto" w:fill="FFFFFF"/>
          </w:tcPr>
          <w:p>
            <w:pPr>
              <w:ind w:firstLine="482"/>
              <w:jc w:val="center"/>
              <w:rPr>
                <w:rFonts w:hint="eastAsia" w:ascii="仿宋" w:hAnsi="仿宋" w:eastAsia="仿宋"/>
                <w:b/>
                <w:bCs/>
                <w:color w:val="000000"/>
                <w:sz w:val="24"/>
                <w:szCs w:val="24"/>
              </w:rPr>
            </w:pPr>
          </w:p>
        </w:tc>
        <w:tc>
          <w:tcPr>
            <w:tcW w:w="1985" w:type="dxa"/>
            <w:shd w:val="clear" w:color="auto" w:fill="FFFFFF"/>
          </w:tcPr>
          <w:p>
            <w:pPr>
              <w:ind w:firstLine="482"/>
              <w:jc w:val="left"/>
              <w:rPr>
                <w:rFonts w:ascii="仿宋" w:hAnsi="仿宋" w:eastAsia="仿宋"/>
                <w:color w:val="000000"/>
                <w:sz w:val="24"/>
                <w:szCs w:val="24"/>
              </w:rPr>
            </w:pPr>
            <w:r>
              <w:rPr>
                <w:rFonts w:hint="eastAsia" w:ascii="仿宋" w:hAnsi="仿宋" w:eastAsia="仿宋"/>
                <w:b/>
                <w:bCs/>
                <w:color w:val="000000"/>
                <w:sz w:val="24"/>
                <w:szCs w:val="24"/>
              </w:rPr>
              <w:t>总计</w:t>
            </w:r>
          </w:p>
        </w:tc>
        <w:tc>
          <w:tcPr>
            <w:tcW w:w="1212"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7507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217</w:t>
            </w:r>
          </w:p>
        </w:tc>
        <w:tc>
          <w:tcPr>
            <w:tcW w:w="1304" w:type="dxa"/>
            <w:shd w:val="clear" w:color="auto" w:fill="FFFFFF"/>
            <w:vAlign w:val="center"/>
          </w:tcPr>
          <w:p>
            <w:pPr>
              <w:ind w:firstLine="480"/>
              <w:jc w:val="left"/>
              <w:rPr>
                <w:rFonts w:ascii="仿宋" w:hAnsi="仿宋" w:eastAsia="仿宋"/>
                <w:color w:val="000000"/>
                <w:sz w:val="24"/>
                <w:szCs w:val="24"/>
              </w:rPr>
            </w:pPr>
            <w:r>
              <w:rPr>
                <w:rFonts w:hint="eastAsia" w:ascii="仿宋" w:hAnsi="仿宋" w:eastAsia="仿宋"/>
                <w:color w:val="000000"/>
                <w:sz w:val="24"/>
                <w:szCs w:val="24"/>
              </w:rPr>
              <w:t>277</w:t>
            </w:r>
          </w:p>
        </w:tc>
        <w:tc>
          <w:tcPr>
            <w:tcW w:w="1304" w:type="dxa"/>
            <w:shd w:val="clear" w:color="auto" w:fill="FFFFFF"/>
            <w:vAlign w:val="center"/>
          </w:tcPr>
          <w:p>
            <w:pPr>
              <w:ind w:firstLine="480"/>
              <w:jc w:val="left"/>
              <w:rPr>
                <w:rFonts w:hint="eastAsia" w:ascii="仿宋" w:hAnsi="仿宋" w:eastAsia="仿宋"/>
                <w:color w:val="000000"/>
                <w:sz w:val="24"/>
                <w:szCs w:val="24"/>
              </w:rPr>
            </w:pPr>
            <w:r>
              <w:rPr>
                <w:rFonts w:hint="eastAsia" w:ascii="仿宋" w:hAnsi="仿宋" w:eastAsia="仿宋"/>
                <w:color w:val="000000"/>
                <w:sz w:val="24"/>
                <w:szCs w:val="24"/>
              </w:rPr>
              <w:t>14</w:t>
            </w:r>
          </w:p>
        </w:tc>
        <w:tc>
          <w:tcPr>
            <w:tcW w:w="780" w:type="dxa"/>
            <w:shd w:val="clear" w:color="auto" w:fill="FFFFFF"/>
            <w:vAlign w:val="center"/>
          </w:tcPr>
          <w:p>
            <w:pPr>
              <w:ind w:firstLine="199" w:firstLineChars="83"/>
              <w:jc w:val="left"/>
              <w:rPr>
                <w:rFonts w:ascii="仿宋" w:hAnsi="仿宋" w:eastAsia="仿宋"/>
                <w:color w:val="000000"/>
                <w:sz w:val="24"/>
                <w:szCs w:val="24"/>
              </w:rPr>
            </w:pPr>
            <w:r>
              <w:rPr>
                <w:rFonts w:hint="eastAsia" w:ascii="仿宋" w:hAnsi="仿宋" w:eastAsia="仿宋"/>
                <w:color w:val="000000"/>
                <w:sz w:val="24"/>
                <w:szCs w:val="24"/>
              </w:rPr>
              <w:t>20</w:t>
            </w:r>
          </w:p>
        </w:tc>
      </w:tr>
    </w:tbl>
    <w:p>
      <w:pPr>
        <w:ind w:firstLine="480"/>
        <w:rPr>
          <w:sz w:val="24"/>
        </w:rPr>
      </w:pPr>
      <w:r>
        <w:rPr>
          <w:rFonts w:hint="eastAsia"/>
          <w:sz w:val="24"/>
        </w:rPr>
        <w:t>注：另市地方金融工作局代市政府起早规范性文件一份涉嫌违反公平竞争审查标准。</w:t>
      </w: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ind w:firstLine="0" w:firstLineChars="0"/>
        <w:rPr>
          <w:rFonts w:hint="eastAsia" w:ascii="仿宋" w:hAnsi="仿宋" w:eastAsia="仿宋" w:cs="宋体"/>
          <w:b/>
          <w:kern w:val="0"/>
          <w:sz w:val="32"/>
          <w:szCs w:val="32"/>
        </w:rPr>
      </w:pPr>
    </w:p>
    <w:p>
      <w:pPr>
        <w:spacing w:afterLines="50"/>
        <w:ind w:firstLine="643"/>
        <w:rPr>
          <w:rFonts w:hint="eastAsia" w:ascii="仿宋" w:hAnsi="仿宋" w:eastAsia="仿宋" w:cs="宋体"/>
          <w:b/>
          <w:kern w:val="0"/>
          <w:sz w:val="32"/>
          <w:szCs w:val="32"/>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附件5：违反公平竞争审查相关规定审查表（一）</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28</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鄂州市商务局公示</w:t>
            </w:r>
          </w:p>
          <w:p>
            <w:pPr>
              <w:spacing w:line="400" w:lineRule="exact"/>
              <w:ind w:firstLine="420"/>
            </w:pPr>
            <w:r>
              <w:rPr>
                <w:rFonts w:hint="eastAsia"/>
              </w:rPr>
              <w:t>2018年4月24日鄂州市商务局门户网站发布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物流仓储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sym w:font="Symbol" w:char="F091"/>
            </w:r>
            <w:r>
              <w:t xml:space="preserve">  </w:t>
            </w:r>
            <w:r>
              <w:rPr>
                <w:rFonts w:hint="eastAsia"/>
                <w:b/>
                <w:bCs/>
              </w:rPr>
              <w:t xml:space="preserve"> </w:t>
            </w:r>
            <w:r>
              <w:t xml:space="preserve">  </w:t>
            </w:r>
            <w:r>
              <w:rPr>
                <w:rFonts w:hint="eastAsia"/>
              </w:rPr>
              <w:t xml:space="preserve">其他政策措施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0" w:firstLineChars="0"/>
            </w:pPr>
            <w:r>
              <w:rPr>
                <w:rFonts w:hint="eastAsia"/>
              </w:rPr>
              <w:t>详细说明</w:t>
            </w:r>
          </w:p>
        </w:tc>
        <w:tc>
          <w:tcPr>
            <w:tcW w:w="6852" w:type="dxa"/>
            <w:gridSpan w:val="2"/>
            <w:vAlign w:val="center"/>
          </w:tcPr>
          <w:p>
            <w:pPr>
              <w:spacing w:line="400" w:lineRule="exact"/>
              <w:ind w:firstLine="420"/>
            </w:pPr>
            <w:r>
              <w:rPr>
                <w:rFonts w:hint="eastAsia"/>
              </w:rPr>
              <w:t>经本所审查，本文件公示：“</w:t>
            </w:r>
            <w:r>
              <w:rPr>
                <w:rFonts w:hint="eastAsia"/>
                <w:b/>
              </w:rPr>
              <w:t>经审查，拟推荐鄂州市大丰牧业有限公司东港原种猪场作为湖北省猪肉储备存储单位，</w:t>
            </w:r>
            <w:r>
              <w:rPr>
                <w:rFonts w:hint="eastAsia"/>
              </w:rPr>
              <w:t>现予以公示，公示期5天。”涉嫌违反《公平竞争审查制度实施细则（暂行）》第十四条第三项“不得限定经营、购买、使用特定经营者提供的商品和服务”。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如无特殊情况，请对该公示文件予以必要说明，并依法予以信息公开。3、如该公示公告中猪肉存储工作已完成，在以后公告中应注重公平竞争审查，履行向社会公众公开征集程序，并进行信息公开。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违反公平竞争审查相关规定审查表（二）</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28</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鄂州市商务局关于鄂州市市级猪肉储备拟存储企业的公示</w:t>
            </w:r>
          </w:p>
          <w:p>
            <w:pPr>
              <w:spacing w:line="400" w:lineRule="exact"/>
              <w:ind w:firstLine="420"/>
            </w:pPr>
            <w:r>
              <w:rPr>
                <w:rFonts w:hint="eastAsia"/>
              </w:rPr>
              <w:t>2019年9月9日鄂州市商务局门户网站发布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物流仓储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sym w:font="Symbol" w:char="F091"/>
            </w:r>
            <w:r>
              <w:t xml:space="preserve">  </w:t>
            </w:r>
            <w:r>
              <w:rPr>
                <w:rFonts w:hint="eastAsia"/>
                <w:b/>
                <w:bCs/>
              </w:rPr>
              <w:t xml:space="preserve"> </w:t>
            </w:r>
            <w:r>
              <w:t xml:space="preserve">  </w:t>
            </w:r>
            <w:r>
              <w:rPr>
                <w:rFonts w:hint="eastAsia"/>
              </w:rPr>
              <w:t xml:space="preserve">其他政策措施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经本所审查，本文件公示：“</w:t>
            </w:r>
            <w:r>
              <w:rPr>
                <w:rFonts w:hint="eastAsia"/>
                <w:b/>
              </w:rPr>
              <w:t>经鄂州市发展改革委、鄂州市财政局、鄂州市农业农村局、鄂州市商务局共同对企业进行实地考察和资质审核，初步确定华沛（武汉）供应链管理有限公司拟承担我市冻猪肉储备工作。</w:t>
            </w:r>
            <w:r>
              <w:rPr>
                <w:rFonts w:hint="eastAsia"/>
              </w:rPr>
              <w:t>公示期为5个工作日。”涉嫌违反《公平竞争审查制度实施细则（暂行）》第十四条第三项“不得限定经营、购买、使用特定经营者提供的商品和服务”。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如无特殊情况，请对该公示文件予以必要说明，并依法予以信息公开。3、如该公示公告中冻猪肉存储工作已完成，在以后公告中应注重公平竞争审查，履行向社会公众公开征集程序，并进行信息公开。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违反公平竞争审查相关规定审查表（三）</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25</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关于开展建设领域施工现场专业人员职业培训继续教育及合格证书换证工作的通知</w:t>
            </w:r>
          </w:p>
          <w:p>
            <w:pPr>
              <w:spacing w:line="400" w:lineRule="exact"/>
              <w:ind w:firstLine="420"/>
            </w:pPr>
            <w:r>
              <w:rPr>
                <w:rFonts w:hint="eastAsia"/>
              </w:rPr>
              <w:t>2020年8月7日鄂州市住房和城乡建设局门户网站发布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工程建设领域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r>
              <w:rPr>
                <w:rFonts w:hint="eastAsia"/>
                <w:b/>
                <w:bCs/>
              </w:rPr>
              <w:t xml:space="preserve"> </w:t>
            </w:r>
            <w:r>
              <w:t xml:space="preserve">  </w:t>
            </w:r>
            <w:r>
              <w:rPr>
                <w:rFonts w:hint="eastAsia"/>
              </w:rPr>
              <w:t xml:space="preserve">其他政策措施 </w:t>
            </w:r>
            <w: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 xml:space="preserve">经本所审查，本文件规定：“一、培训机构 </w:t>
            </w:r>
            <w:r>
              <w:rPr>
                <w:rFonts w:hint="eastAsia"/>
                <w:b/>
              </w:rPr>
              <w:t>鄂州市捷创建设职业技术培训学校有限公司具备了职业培训机构应具备的基本条件，取得我市建设领域施工现场专业人员职业培训继续教育及合格证书换证工作资格，是目前我市现场专业人员职业培训继续教育及合格证书换证工作的唯一培训机构。</w:t>
            </w:r>
            <w:r>
              <w:rPr>
                <w:rFonts w:hint="eastAsia"/>
              </w:rPr>
              <w:t>”涉嫌违反《公平竞争审查制度实施细则（暂行）》第十四条第三款“（一）不得限定经营、购买、使用特定经营者提供的商品和服务”，排除鄂州市捷创建设职业技术培训学校有限公司以外具有相关培训资质机构的教育培训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rPr>
                <w:rFonts w:hint="eastAsia"/>
              </w:rPr>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 “鄂州市捷创建设职业技术培训学校有限公司具备了职业培训机构应具备的基本条件，取得我市建设领域施工现场专业人员职业培训继续教育及合格证书换证工作资格，是目前我市现场专业人员职业培训继续教育及合格证书换证工作的唯一培训机构”删掉，并依法予以信息公开。</w:t>
            </w:r>
          </w:p>
          <w:p>
            <w:pPr>
              <w:spacing w:line="400" w:lineRule="exact"/>
              <w:ind w:firstLine="420"/>
            </w:pPr>
            <w:r>
              <w:rPr>
                <w:rFonts w:hint="eastAsia"/>
              </w:rPr>
              <w:t>2020年12月3日，市住建局已明确废止该该通知并在门户网站进行公告。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r>
              <w:rPr>
                <w:rFonts w:hint="eastAsia"/>
              </w:rPr>
              <w:t>同意。</w:t>
            </w:r>
          </w:p>
          <w:p>
            <w:pPr>
              <w:spacing w:line="400" w:lineRule="exact"/>
              <w:ind w:right="960" w:firstLine="420"/>
              <w:jc w:val="center"/>
            </w:pPr>
            <w:r>
              <w:rPr>
                <w:rFonts w:hint="eastAsia"/>
              </w:rPr>
              <w:t xml:space="preserve"> </w:t>
            </w:r>
            <w:r>
              <w:t xml:space="preserve">                                  </w:t>
            </w:r>
            <w:r>
              <w:rPr>
                <w:rFonts w:hint="eastAsia"/>
              </w:rPr>
              <w:t>签字：</w:t>
            </w:r>
          </w:p>
        </w:tc>
      </w:tr>
    </w:tbl>
    <w:p>
      <w:pPr>
        <w:ind w:firstLine="420"/>
      </w:pPr>
    </w:p>
    <w:p>
      <w:pPr>
        <w:ind w:firstLine="420"/>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违反公平竞争审查相关规定审查表（四）</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25</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《鄂州市住宅专项维修资金管理办法》实施细则</w:t>
            </w:r>
          </w:p>
          <w:p>
            <w:pPr>
              <w:spacing w:line="400" w:lineRule="exact"/>
              <w:ind w:firstLine="420"/>
            </w:pPr>
            <w:r>
              <w:rPr>
                <w:rFonts w:hint="eastAsia"/>
              </w:rPr>
              <w:t>2020年6月9日鄂州市住房和城乡建设局门户网站发布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工程建设领域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r>
              <w:rPr>
                <w:rFonts w:hint="eastAsia"/>
                <w:b/>
                <w:bCs/>
              </w:rPr>
              <w:t xml:space="preserve"> </w:t>
            </w:r>
            <w:r>
              <w:t xml:space="preserve">  </w:t>
            </w:r>
            <w:r>
              <w:rPr>
                <w:rFonts w:hint="eastAsia"/>
              </w:rPr>
              <w:t xml:space="preserve">其他政策措施 </w:t>
            </w:r>
            <w: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42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经本所审查，本文件第二十五条规定：“市住房和城乡建设局根据服务机构的诚信记录、相关资质和专业实力，</w:t>
            </w:r>
            <w:r>
              <w:rPr>
                <w:rFonts w:hint="eastAsia"/>
                <w:b/>
              </w:rPr>
              <w:t>建立涵盖工程造价咨询、招投标代理、工程施工、工程监理、工程审计、电梯维修、消防维修等方面的服务机构名录库。</w:t>
            </w:r>
            <w:r>
              <w:rPr>
                <w:rFonts w:hint="eastAsia"/>
              </w:rPr>
              <w:t>名录库向社会公开征集、公示，接受社会监督，实行动态管理。维修资金使用申请人可自愿在名录库中选择相应的服务机构。”涉嫌违反《公平竞争审查制度实施细则（暂行）》第十四条第三款“（一）不得限定经营、购买、使用特定经营者提供的商品和服务”，排除或限制名录库外服务机构提供服务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 “市住房和城乡建设局根据服务机构的诚信记录、相关资质和专业实力，建立涵盖工程造价咨询、招投标代理、工程施工、工程监理、工程审计、电梯维修、消防维修等方面的服务机构名录库。名录库向社会公开征集、公示，接受社会监督，实行动态管理。维修资金使用申请人可自愿在名录库中选择相应的服务机构。”删掉，并依法予以信息公开。3、如设置名录库，建议在发生危及房屋安全等紧急情况，需要立即对住宅共用部位、共用设施设备进行维修和更新、改造的，业委会、物业服务企业未按照规定及时维修和更新、改造的，市住房和城乡建设局组织代修的，从名录库选择服务机构进行紧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违反公平竞争审查相关规定审查表（五）</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25</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鄂州市住建局关于进一步规范预拌混凝土行业管理工作的通知</w:t>
            </w:r>
          </w:p>
          <w:p>
            <w:pPr>
              <w:spacing w:line="400" w:lineRule="exact"/>
              <w:ind w:firstLine="420"/>
            </w:pPr>
            <w:r>
              <w:rPr>
                <w:rFonts w:hint="eastAsia"/>
              </w:rPr>
              <w:t>2020年8月21日鄂州市住房和城乡建设局门户网站发布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工程建设领域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sym w:font="Symbol" w:char="F091"/>
            </w:r>
            <w:r>
              <w:t xml:space="preserve">  </w:t>
            </w:r>
            <w:r>
              <w:rPr>
                <w:rFonts w:hint="eastAsia"/>
                <w:b/>
                <w:bCs/>
              </w:rPr>
              <w:t xml:space="preserve"> </w:t>
            </w:r>
            <w:r>
              <w:t xml:space="preserve">  </w:t>
            </w:r>
            <w:r>
              <w:rPr>
                <w:rFonts w:hint="eastAsia"/>
              </w:rPr>
              <w:t xml:space="preserve">其他政策措施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2"/>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0"/>
              <w:rPr>
                <w:b/>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经本所审查，本文件规定：“一、企业资质管理1.实行准入清出制度。</w:t>
            </w:r>
            <w:r>
              <w:rPr>
                <w:rFonts w:hint="eastAsia"/>
                <w:b/>
              </w:rPr>
              <w:t>为避免进一步激化市场供需矛盾，原则上不再审批建设预拌混凝土搅拌站……</w:t>
            </w:r>
            <w:r>
              <w:rPr>
                <w:rFonts w:hint="eastAsia"/>
              </w:rPr>
              <w:t>”涉嫌违反《公平竞争审查制度实施细则（暂行）》第十四条第一款“（一）不得设置不合理和歧视性的准入和退出条件”，排除建设预拌混凝土搅拌站设立。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 “为避免进一步激化市场供需矛盾，原则上不再审批建设预拌混凝土搅拌站”修改为：“为保障预拌混凝土行业健康发展，合理引导预拌混凝土搅拌站布局及建设”，并依法予以信息公开。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ind w:firstLine="420"/>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违反公平竞争审查相关规定审查表（六—十二）</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22</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鄂州市国有建设用地使用权挂牌出让公告G[2017]055-060号地块</w:t>
            </w:r>
          </w:p>
          <w:p>
            <w:pPr>
              <w:spacing w:line="400" w:lineRule="exact"/>
              <w:ind w:firstLine="420"/>
            </w:pPr>
            <w:r>
              <w:rPr>
                <w:rFonts w:hint="eastAsia"/>
              </w:rPr>
              <w:t>2017年11月15日鄂州市公共资源交易网发布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土地使用权出让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sym w:font="Symbol" w:char="F091"/>
            </w:r>
            <w:r>
              <w:t xml:space="preserve">  </w:t>
            </w:r>
            <w:r>
              <w:rPr>
                <w:rFonts w:hint="eastAsia"/>
                <w:b/>
                <w:bCs/>
              </w:rPr>
              <w:t xml:space="preserve"> </w:t>
            </w:r>
            <w:r>
              <w:t xml:space="preserve">  </w:t>
            </w:r>
            <w:r>
              <w:rPr>
                <w:rFonts w:hint="eastAsia"/>
              </w:rPr>
              <w:t xml:space="preserve">其他政策措施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鄂州市国土资源局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经本所审查，本文件规定：“二、竞买人资格要求：1、鄂州G[2017]055-060号地块竞买人要求（1）</w:t>
            </w:r>
            <w:r>
              <w:rPr>
                <w:rFonts w:hint="eastAsia"/>
                <w:b/>
              </w:rPr>
              <w:t>竞买人或其实际控股股东须为世界500强企业（以《财富》杂志公布的最新榜单为准）</w:t>
            </w:r>
            <w:r>
              <w:rPr>
                <w:rFonts w:hint="eastAsia"/>
              </w:rPr>
              <w:t>”涉嫌违反《公平竞争审查制度实施细则（暂行）》第十四条第一款“（一）不得设置不合理和歧视性的准入和退出条件，排斥或限制经营者参与市场竞争”，排除世界500强名单外企业竞买资格。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bookmarkStart w:id="0" w:name="_Hlk37693384"/>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要求“竞买人或其实际控股股东须为世界500强企业”删掉，并依法予以信息公开。3、如该地块已成功出让，在以后国有建设用地使用权挂牌出让公告中应注重公平竞争审查，不得违规设置竞买前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420"/>
            </w:pPr>
            <w:r>
              <w:rPr>
                <w:rFonts w:hint="eastAsia"/>
              </w:rPr>
              <w:t>鄂州市国土资源局“鄂州市国有建设用地使用权挂牌出让公告”G[2019]001-003号地块、鄂州市自然资源和规划局“鄂州市国有建设用地使用权挂牌出让公告”G[2019]004-006号地块、G[2019]007-010号地块、G[2020]003-004号地块、G[2020]019-022号地块、G[2020]024-09号地块均存在类似涉嫌“设置不合理和歧视性的准入和退出条件，排斥或限制经营者参与市场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bookmarkEnd w:id="0"/>
    </w:tbl>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违反公平竞争审查相关规定审查表（十三）</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28</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鄂州市商务局优化营商环境公开承诺书</w:t>
            </w:r>
          </w:p>
          <w:p>
            <w:pPr>
              <w:spacing w:line="400" w:lineRule="exact"/>
              <w:ind w:firstLine="420"/>
            </w:pPr>
            <w:r>
              <w:rPr>
                <w:rFonts w:hint="eastAsia"/>
              </w:rPr>
              <w:t>2020年8月10日鄂州市商务局门户网站发布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sym w:font="Symbol" w:char="F091"/>
            </w:r>
            <w:r>
              <w:t xml:space="preserve">  </w:t>
            </w:r>
            <w:r>
              <w:rPr>
                <w:rFonts w:hint="eastAsia"/>
                <w:b/>
                <w:bCs/>
              </w:rPr>
              <w:t xml:space="preserve"> </w:t>
            </w:r>
            <w:r>
              <w:t xml:space="preserve">  </w:t>
            </w:r>
            <w:r>
              <w:rPr>
                <w:rFonts w:hint="eastAsia"/>
              </w:rPr>
              <w:t xml:space="preserve">其他政策措施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2"/>
              <w:rPr>
                <w:b/>
                <w:bCs/>
              </w:rPr>
            </w:pPr>
            <w:r>
              <w:rPr>
                <w:rFonts w:hint="eastAsia"/>
                <w:b/>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经本所审查，本文件二规定：“5.提高市场开放包容程度。</w:t>
            </w:r>
            <w:r>
              <w:rPr>
                <w:rFonts w:hint="eastAsia"/>
                <w:b/>
              </w:rPr>
              <w:t>制定更加激励的政策措施，加大对外商项目的优惠力度，</w:t>
            </w:r>
            <w:r>
              <w:rPr>
                <w:rFonts w:hint="eastAsia"/>
              </w:rPr>
              <w:t>积极争取和利用外资，鼓励对外投资、扩大货物进出口。”涉嫌违反《公平竞争审查制度实施细则（暂行）》第十六条第一项“不得违法给予特定经营者优惠政策”。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如无特殊情况，请将文件中“制定更加激励的政策措施，加大对外商项目的优惠力度”修改为：“持续加大对外开放力度，优化外商投资环境”，并依法予以信息公开。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违反公平竞争审查相关规定审查表（十四）</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21</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市人民政府关于进一步推动企业利用资本市场加快发展的实施意见</w:t>
            </w:r>
          </w:p>
          <w:p>
            <w:pPr>
              <w:spacing w:line="400" w:lineRule="exact"/>
              <w:ind w:firstLine="420"/>
            </w:pPr>
            <w:r>
              <w:rPr>
                <w:rFonts w:hint="eastAsia"/>
              </w:rPr>
              <w:t>2017年3月13日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金融业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r>
              <w:rPr>
                <w:rFonts w:hint="eastAsia"/>
                <w:b/>
                <w:bCs/>
              </w:rPr>
              <w:t xml:space="preserve"> </w:t>
            </w:r>
            <w:r>
              <w:t xml:space="preserve">  </w:t>
            </w:r>
            <w:r>
              <w:rPr>
                <w:rFonts w:hint="eastAsia"/>
              </w:rPr>
              <w:t xml:space="preserve">其他政策措施  </w:t>
            </w:r>
            <w:r>
              <w:rPr>
                <w:b/>
                <w:bCs/>
              </w:rPr>
              <w:sym w:font="Symbol" w:char="F091"/>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鄂州市地方金融工作局（原市金融办）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0"/>
              <w:rPr>
                <w:b/>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2"/>
              <w:rPr>
                <w:b/>
              </w:rPr>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rPr>
            </w:pPr>
            <w:r>
              <w:rPr>
                <w:rFonts w:hint="eastAsia"/>
                <w:b/>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经本所审查，本文件“第四项加大政策引导和扶持力度第二条推进企业到场外交易市场挂牌1. 鼓励有限责任公司赴武汉股权托管交易中心交易板挂牌。对守法经营、正常纳税、</w:t>
            </w:r>
            <w:r>
              <w:rPr>
                <w:rFonts w:hint="eastAsia"/>
                <w:b/>
              </w:rPr>
              <w:t>连续3年纳税总额累计在100万元以上的规上企业、高新技术企业（含新引进的战略性新兴产业）、农业产业化企业、限上企业（分别由市经信委、市科技局、市农委、市商务局、市国税局、市地税局出具相关证明文件）成功挂牌给予一次性30万元补助</w:t>
            </w:r>
            <w:r>
              <w:rPr>
                <w:rFonts w:hint="eastAsia"/>
              </w:rPr>
              <w:t>”。涉嫌违反《公平竞争审查制度实施细则（暂行）》第十六条第二项影响生产经营成本标准： “</w:t>
            </w:r>
            <w:r>
              <w:rPr>
                <w:rFonts w:hint="eastAsia" w:ascii="宋体" w:hAnsi="宋体" w:cs="宋体"/>
                <w:shd w:val="clear" w:color="auto" w:fill="FFFFFF"/>
              </w:rPr>
              <w:t>安排财政支出一般不得与企业缴纳的税收或非税收入挂钩。</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如无特殊情况，请将文件中要求“连续3年纳税总额累计在100万元以上”删掉，或使用其他标准替换税收标准，并依法予以信息公开。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hint="eastAsia" w:ascii="黑体" w:hAnsi="黑体" w:eastAsia="黑体" w:cs="黑体"/>
          <w:b/>
          <w:bCs/>
          <w:sz w:val="28"/>
          <w:szCs w:val="28"/>
        </w:rPr>
      </w:pPr>
    </w:p>
    <w:p>
      <w:pPr>
        <w:spacing w:afterLines="50"/>
        <w:ind w:firstLine="562"/>
        <w:rPr>
          <w:rFonts w:ascii="黑体" w:hAnsi="黑体" w:eastAsia="黑体" w:cs="黑体"/>
          <w:b/>
          <w:bCs/>
          <w:sz w:val="28"/>
          <w:szCs w:val="28"/>
        </w:rPr>
      </w:pPr>
      <w:r>
        <w:rPr>
          <w:rFonts w:hint="eastAsia" w:ascii="黑体" w:hAnsi="黑体" w:eastAsia="黑体" w:cs="黑体"/>
          <w:b/>
          <w:bCs/>
          <w:sz w:val="28"/>
          <w:szCs w:val="28"/>
        </w:rPr>
        <w:t>违反公平竞争审查相关规定审查表（十五）</w:t>
      </w:r>
    </w:p>
    <w:p>
      <w:pPr>
        <w:spacing w:beforeLines="100" w:afterLines="100" w:line="400" w:lineRule="exact"/>
        <w:ind w:firstLine="562"/>
        <w:jc w:val="center"/>
        <w:rPr>
          <w:b/>
          <w:bCs/>
          <w:sz w:val="28"/>
          <w:szCs w:val="32"/>
        </w:rPr>
      </w:pPr>
      <w:r>
        <w:rPr>
          <w:rFonts w:hint="eastAsia" w:ascii="黑体" w:hAnsi="黑体" w:eastAsia="黑体" w:cs="黑体"/>
          <w:b/>
          <w:bCs/>
          <w:sz w:val="28"/>
          <w:szCs w:val="28"/>
        </w:rPr>
        <w:t xml:space="preserve">  </w:t>
      </w:r>
      <w:r>
        <w:rPr>
          <w:rFonts w:hint="eastAsia"/>
          <w:b/>
          <w:bCs/>
          <w:sz w:val="28"/>
          <w:szCs w:val="32"/>
        </w:rPr>
        <w:t>公平竞争审查表</w:t>
      </w:r>
    </w:p>
    <w:p>
      <w:pPr>
        <w:spacing w:line="400" w:lineRule="exact"/>
        <w:ind w:firstLine="420"/>
        <w:jc w:val="right"/>
      </w:pPr>
      <w:r>
        <w:rPr>
          <w:rFonts w:hint="eastAsia"/>
        </w:rPr>
        <w:t>2020年10</w:t>
      </w:r>
      <w:r>
        <w:t xml:space="preserve"> </w:t>
      </w:r>
      <w:r>
        <w:rPr>
          <w:rFonts w:hint="eastAsia"/>
        </w:rPr>
        <w:t>月 22</w:t>
      </w:r>
      <w:r>
        <w:t xml:space="preserve"> </w:t>
      </w:r>
      <w:r>
        <w:rPr>
          <w:rFonts w:hint="eastAsia"/>
        </w:rPr>
        <w:t>日</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56"/>
        <w:gridCol w:w="60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政策措施名称</w:t>
            </w:r>
          </w:p>
        </w:tc>
        <w:tc>
          <w:tcPr>
            <w:tcW w:w="7308" w:type="dxa"/>
            <w:gridSpan w:val="3"/>
            <w:vAlign w:val="center"/>
          </w:tcPr>
          <w:p>
            <w:pPr>
              <w:spacing w:line="400" w:lineRule="exact"/>
              <w:ind w:firstLine="420"/>
            </w:pPr>
            <w:r>
              <w:rPr>
                <w:rFonts w:hint="eastAsia"/>
              </w:rPr>
              <w:t>市人民政府关于促进服务业发展若干政策措施的意见</w:t>
            </w:r>
          </w:p>
          <w:p>
            <w:pPr>
              <w:spacing w:line="400" w:lineRule="exact"/>
              <w:ind w:firstLine="420"/>
            </w:pPr>
            <w:r>
              <w:rPr>
                <w:rFonts w:hint="eastAsia"/>
              </w:rPr>
              <w:t>2019年2月25日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涉及行业领域</w:t>
            </w:r>
          </w:p>
        </w:tc>
        <w:tc>
          <w:tcPr>
            <w:tcW w:w="7308" w:type="dxa"/>
            <w:gridSpan w:val="3"/>
            <w:vAlign w:val="center"/>
          </w:tcPr>
          <w:p>
            <w:pPr>
              <w:spacing w:line="400" w:lineRule="exact"/>
              <w:ind w:firstLine="420"/>
            </w:pPr>
            <w:r>
              <w:rPr>
                <w:rFonts w:hint="eastAsia"/>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性质</w:t>
            </w:r>
          </w:p>
        </w:tc>
        <w:tc>
          <w:tcPr>
            <w:tcW w:w="7308" w:type="dxa"/>
            <w:gridSpan w:val="3"/>
            <w:vAlign w:val="center"/>
          </w:tcPr>
          <w:p>
            <w:pPr>
              <w:spacing w:line="400" w:lineRule="exact"/>
              <w:ind w:firstLine="420"/>
            </w:pPr>
            <w:r>
              <w:rPr>
                <w:rFonts w:hint="eastAsia"/>
              </w:rPr>
              <w:t xml:space="preserve">行政法规草案  </w:t>
            </w:r>
            <w:r>
              <w:rPr>
                <w:rFonts w:hint="eastAsia"/>
                <w:b/>
                <w:bCs/>
              </w:rPr>
              <w:sym w:font="Symbol" w:char="F091"/>
            </w:r>
            <w:r>
              <w:t xml:space="preserve">   </w:t>
            </w:r>
            <w:r>
              <w:rPr>
                <w:rFonts w:hint="eastAsia"/>
              </w:rPr>
              <w:t xml:space="preserve">地方性法规草案  </w:t>
            </w:r>
            <w:r>
              <w:rPr>
                <w:b/>
                <w:bCs/>
              </w:rPr>
              <w:sym w:font="Symbol" w:char="F091"/>
            </w:r>
            <w:r>
              <w:rPr>
                <w:b/>
                <w:bCs/>
              </w:rPr>
              <w:t xml:space="preserve"> </w:t>
            </w:r>
            <w:r>
              <w:t xml:space="preserve">  </w:t>
            </w:r>
            <w:r>
              <w:rPr>
                <w:rFonts w:hint="eastAsia"/>
              </w:rPr>
              <w:t xml:space="preserve">规章 </w:t>
            </w:r>
            <w:r>
              <w:t xml:space="preserve"> </w:t>
            </w:r>
            <w:r>
              <w:rPr>
                <w:b/>
                <w:bCs/>
              </w:rPr>
              <w:sym w:font="Symbol" w:char="F091"/>
            </w:r>
          </w:p>
          <w:p>
            <w:pPr>
              <w:spacing w:line="400" w:lineRule="exact"/>
              <w:ind w:firstLine="420"/>
            </w:pPr>
            <w:r>
              <w:rPr>
                <w:rFonts w:hint="eastAsia"/>
              </w:rPr>
              <w:t xml:space="preserve">规范性文件 </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t xml:space="preserve">  </w:t>
            </w:r>
            <w:r>
              <w:rPr>
                <w:rFonts w:hint="eastAsia"/>
                <w:b/>
                <w:bCs/>
              </w:rPr>
              <w:t xml:space="preserve"> </w:t>
            </w:r>
            <w:r>
              <w:t xml:space="preserve">  </w:t>
            </w:r>
            <w:r>
              <w:rPr>
                <w:rFonts w:hint="eastAsia"/>
              </w:rPr>
              <w:t xml:space="preserve">其他政策措施  </w:t>
            </w:r>
            <w:r>
              <w:rPr>
                <w:b/>
                <w:bCs/>
              </w:rPr>
              <w:sym w:font="Symbol" w:char="F091"/>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400" w:lineRule="exact"/>
              <w:ind w:firstLine="0" w:firstLineChars="0"/>
            </w:pPr>
            <w:r>
              <w:rPr>
                <w:rFonts w:hint="eastAsia"/>
              </w:rPr>
              <w:t>起草</w:t>
            </w:r>
          </w:p>
          <w:p>
            <w:pPr>
              <w:spacing w:line="400" w:lineRule="exact"/>
              <w:ind w:firstLine="0" w:firstLineChars="0"/>
            </w:pPr>
            <w:r>
              <w:rPr>
                <w:rFonts w:hint="eastAsia"/>
              </w:rPr>
              <w:t>机构</w:t>
            </w:r>
          </w:p>
        </w:tc>
        <w:tc>
          <w:tcPr>
            <w:tcW w:w="7308" w:type="dxa"/>
            <w:gridSpan w:val="3"/>
            <w:vAlign w:val="center"/>
          </w:tcPr>
          <w:p>
            <w:pPr>
              <w:spacing w:line="400" w:lineRule="exact"/>
              <w:ind w:firstLine="420"/>
            </w:pPr>
            <w:r>
              <w:rPr>
                <w:rFonts w:hint="eastAsia"/>
              </w:rPr>
              <w:t>鄂州市发展和改革委员会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bottom w:val="single" w:color="auto" w:sz="4" w:space="0"/>
            </w:tcBorders>
            <w:vAlign w:val="center"/>
          </w:tcPr>
          <w:p>
            <w:pPr>
              <w:spacing w:line="400" w:lineRule="exact"/>
              <w:ind w:firstLine="0" w:firstLineChars="0"/>
            </w:pPr>
            <w:r>
              <w:rPr>
                <w:rFonts w:hint="eastAsia"/>
              </w:rPr>
              <w:t>审查</w:t>
            </w:r>
          </w:p>
          <w:p>
            <w:pPr>
              <w:spacing w:line="400" w:lineRule="exact"/>
              <w:ind w:firstLine="0" w:firstLineChars="0"/>
            </w:pPr>
            <w:r>
              <w:rPr>
                <w:rFonts w:hint="eastAsia"/>
              </w:rPr>
              <w:t>机构</w:t>
            </w:r>
          </w:p>
        </w:tc>
        <w:tc>
          <w:tcPr>
            <w:tcW w:w="7308" w:type="dxa"/>
            <w:gridSpan w:val="3"/>
            <w:tcBorders>
              <w:bottom w:val="single" w:color="auto" w:sz="4" w:space="0"/>
            </w:tcBorders>
            <w:vAlign w:val="center"/>
          </w:tcPr>
          <w:p>
            <w:pPr>
              <w:spacing w:line="400" w:lineRule="exact"/>
              <w:ind w:firstLine="420"/>
            </w:pPr>
            <w:r>
              <w:rPr>
                <w:rFonts w:hint="eastAsia"/>
              </w:rPr>
              <w:t>湖北伸道律师事务所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pPr>
              <w:spacing w:line="400" w:lineRule="exact"/>
              <w:ind w:firstLine="420"/>
              <w:jc w:val="center"/>
            </w:pPr>
            <w:r>
              <w:rPr>
                <w:rFonts w:hint="eastAsia"/>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2"/>
              <w:rPr>
                <w:b/>
                <w:bCs/>
              </w:rPr>
            </w:pPr>
            <w:r>
              <w:rPr>
                <w:rFonts w:hint="eastAsia"/>
                <w:b/>
                <w:bCs/>
              </w:rPr>
              <w:t>一、是否违反市场准入和退出标准</w:t>
            </w:r>
          </w:p>
        </w:tc>
        <w:tc>
          <w:tcPr>
            <w:tcW w:w="788" w:type="dxa"/>
            <w:vAlign w:val="center"/>
          </w:tcPr>
          <w:p>
            <w:pPr>
              <w:spacing w:line="400" w:lineRule="exact"/>
              <w:ind w:firstLine="420"/>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设置不合理和歧视性的准入和退出条件</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未经公平竞争授予经营者特许经营权</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限定经营、购买、使用特定经营者提供的商品和服务</w:t>
            </w:r>
          </w:p>
        </w:tc>
        <w:tc>
          <w:tcPr>
            <w:tcW w:w="788" w:type="dxa"/>
            <w:vAlign w:val="center"/>
          </w:tcPr>
          <w:p>
            <w:pPr>
              <w:spacing w:line="400" w:lineRule="exact"/>
              <w:ind w:firstLine="420"/>
              <w:rPr>
                <w:b/>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sz w:val="22"/>
              </w:rPr>
              <w:t>设置没有法律法规依据的审批或者具有行政审批性质的事前备案程序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对市场准入负面清单以外的行业、领域、业务等设置审批程序</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二、是否违反商品和要素自由流动标准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对外地和进口商品、服务实行歧视性价格和歧视性补贴政策</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限制外地和进口商品、服务进入本地市场或者阻碍本地商品运出、服务输出</w:t>
            </w:r>
          </w:p>
        </w:tc>
        <w:tc>
          <w:tcPr>
            <w:tcW w:w="788" w:type="dxa"/>
            <w:vAlign w:val="center"/>
          </w:tcPr>
          <w:p>
            <w:pPr>
              <w:spacing w:line="400" w:lineRule="exact"/>
              <w:ind w:firstLine="420"/>
              <w:rPr>
                <w:b/>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排斥或者限制外地经营者参加本地招标投标活动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排斥、限制或者强制外地经营者在本地投资或者设立分支机构</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5.</w:t>
            </w:r>
            <w:r>
              <w:t xml:space="preserve"> </w:t>
            </w:r>
            <w:r>
              <w:rPr>
                <w:rFonts w:hint="eastAsia"/>
              </w:rPr>
              <w:t>对外地经营者在本地的投资或者设立的分支机构实行歧视性待遇</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三、是否违反影响生产经营成本标准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违法给予特定经营者优惠政策</w:t>
            </w:r>
          </w:p>
        </w:tc>
        <w:tc>
          <w:tcPr>
            <w:tcW w:w="788" w:type="dxa"/>
            <w:vAlign w:val="center"/>
          </w:tcPr>
          <w:p>
            <w:pPr>
              <w:spacing w:line="400" w:lineRule="exact"/>
              <w:ind w:firstLine="420"/>
              <w:rPr>
                <w:bC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安排财政支出一般不得与企业缴纳的税收或非税收入挂钩</w:t>
            </w:r>
          </w:p>
        </w:tc>
        <w:tc>
          <w:tcPr>
            <w:tcW w:w="788" w:type="dxa"/>
            <w:vAlign w:val="center"/>
          </w:tcPr>
          <w:p>
            <w:pPr>
              <w:spacing w:line="400" w:lineRule="exact"/>
              <w:ind w:firstLine="422"/>
            </w:pPr>
            <w:r>
              <w:rPr>
                <w:rFonts w:hint="eastAsia"/>
                <w:b/>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违法违规减免或者缓征特定经营者应当缴纳的社会保险费用</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在法律规定之外要求经营者提供或扣留经营者各类保证金</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四、是否违反影响生产经营行为标准</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强制经营者从事《中华人民共和国反垄断法》规定的垄断行为</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违法披露或者违法要求经营者披露生产经营敏感信息</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3.</w:t>
            </w:r>
            <w:r>
              <w:t xml:space="preserve"> </w:t>
            </w:r>
            <w:r>
              <w:rPr>
                <w:rFonts w:hint="eastAsia"/>
              </w:rPr>
              <w:t>超越定价权限进行政府定价</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4.</w:t>
            </w:r>
            <w:r>
              <w:t xml:space="preserve"> </w:t>
            </w:r>
            <w:r>
              <w:rPr>
                <w:rFonts w:hint="eastAsia"/>
              </w:rPr>
              <w:t>违法干预实行市场调节价的商品和服务的价格水平</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五、是否违反兜底条款</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1.</w:t>
            </w:r>
            <w:r>
              <w:t xml:space="preserve"> </w:t>
            </w:r>
            <w:r>
              <w:rPr>
                <w:rFonts w:hint="eastAsia"/>
              </w:rPr>
              <w:t>没有法律法规依据减损市场主体合法权益或者增加其义务</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8" w:type="dxa"/>
            <w:gridSpan w:val="3"/>
            <w:vAlign w:val="center"/>
          </w:tcPr>
          <w:p>
            <w:pPr>
              <w:spacing w:line="400" w:lineRule="exact"/>
              <w:ind w:firstLine="420"/>
            </w:pPr>
            <w:r>
              <w:rPr>
                <w:rFonts w:hint="eastAsia"/>
              </w:rPr>
              <w:t>2.</w:t>
            </w:r>
            <w:r>
              <w:t xml:space="preserve"> </w:t>
            </w:r>
            <w:r>
              <w:rPr>
                <w:rFonts w:hint="eastAsia"/>
              </w:rPr>
              <w:t>违反《反垄断法》制定含有排除限制竞争内容的政策措施</w:t>
            </w:r>
          </w:p>
        </w:tc>
        <w:tc>
          <w:tcPr>
            <w:tcW w:w="788" w:type="dxa"/>
            <w:vAlign w:val="center"/>
          </w:tcPr>
          <w:p>
            <w:pPr>
              <w:spacing w:line="400" w:lineRule="exact"/>
              <w:ind w:firstLine="42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8" w:type="dxa"/>
            <w:vMerge w:val="restart"/>
            <w:vAlign w:val="center"/>
          </w:tcPr>
          <w:p>
            <w:pPr>
              <w:spacing w:line="400" w:lineRule="exact"/>
              <w:ind w:firstLine="0" w:firstLineChars="0"/>
            </w:pPr>
            <w:r>
              <w:rPr>
                <w:rFonts w:hint="eastAsia"/>
              </w:rPr>
              <w:t>是否违反相关标准的结论及说明</w:t>
            </w:r>
          </w:p>
        </w:tc>
        <w:tc>
          <w:tcPr>
            <w:tcW w:w="7308" w:type="dxa"/>
            <w:gridSpan w:val="3"/>
            <w:vAlign w:val="center"/>
          </w:tcPr>
          <w:p>
            <w:pPr>
              <w:spacing w:line="400" w:lineRule="exact"/>
              <w:ind w:firstLine="420"/>
            </w:pPr>
            <w:r>
              <w:rPr>
                <w:rFonts w:hint="eastAsia"/>
              </w:rPr>
              <w:t>是</w:t>
            </w:r>
            <w: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r>
              <w:rPr>
                <w:b/>
                <w:bCs/>
              </w:rPr>
              <w:t xml:space="preserve">         </w:t>
            </w:r>
            <w:r>
              <w:rPr>
                <w:rFonts w:hint="eastAsia"/>
              </w:rPr>
              <w:t>否</w:t>
            </w:r>
            <w:r>
              <w:rPr>
                <w:b/>
                <w:bCs/>
              </w:rPr>
              <w:t xml:space="preserve"> </w:t>
            </w:r>
            <w:r>
              <w:rPr>
                <w:b/>
                <w:bCs/>
              </w:rPr>
              <w:sym w:font="Symbol" w:char="F09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经本所审查，本文件涉嫌“设置影响生产经营成本标准”。 “第二条支持重点企业做大做强。关于“打造精品专业市场，对实现集中收银并纳入服务业统计库的商业综合体，当年奖励10万元，对年度税收或经济体量贡献较大的，次年一次性追加奖励5万元。……对规模（限额）以上服务业企业年度税收在同行业（按国民经济行业分类大类划分）排前3名的服务业企业，一次性奖励5万元。””。涉嫌违反《公平竞争审查制度实施细则（暂行）》第十六条第二项“安排财政支出一般不得与企业缴纳的税收或非税收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88" w:type="dxa"/>
            <w:vMerge w:val="restart"/>
            <w:vAlign w:val="center"/>
          </w:tcPr>
          <w:p>
            <w:pPr>
              <w:spacing w:line="400" w:lineRule="exact"/>
              <w:ind w:firstLine="0" w:firstLineChars="0"/>
            </w:pPr>
            <w:r>
              <w:rPr>
                <w:rFonts w:hint="eastAsia"/>
              </w:rPr>
              <w:t>例外规定的适用情况</w:t>
            </w:r>
          </w:p>
          <w:p>
            <w:pPr>
              <w:spacing w:line="400" w:lineRule="exact"/>
              <w:ind w:firstLine="0" w:firstLineChars="0"/>
            </w:pPr>
            <w:r>
              <w:rPr>
                <w:rFonts w:hint="eastAsia"/>
              </w:rPr>
              <w:t>（如违反相关标准）</w:t>
            </w:r>
          </w:p>
        </w:tc>
        <w:tc>
          <w:tcPr>
            <w:tcW w:w="7308" w:type="dxa"/>
            <w:gridSpan w:val="3"/>
            <w:vAlign w:val="center"/>
          </w:tcPr>
          <w:p>
            <w:pPr>
              <w:spacing w:line="400" w:lineRule="exact"/>
              <w:ind w:firstLine="420"/>
            </w:pPr>
            <w:r>
              <w:rPr>
                <w:rFonts w:hint="eastAsia"/>
              </w:rPr>
              <w:t>是</w:t>
            </w:r>
            <w:r>
              <w:rPr>
                <w:b/>
                <w:bCs/>
              </w:rPr>
              <w:t xml:space="preserve"> </w:t>
            </w:r>
            <w:r>
              <w:rPr>
                <w:rFonts w:hint="eastAsia"/>
                <w:b/>
                <w:bCs/>
              </w:rPr>
              <w:sym w:font="Symbol" w:char="F091"/>
            </w:r>
            <w:r>
              <w:t xml:space="preserve">          </w:t>
            </w:r>
            <w:r>
              <w:rPr>
                <w:rFonts w:hint="eastAsia"/>
              </w:rPr>
              <w:t>否</w:t>
            </w:r>
            <w:r>
              <w:rPr>
                <w:rFonts w:hint="eastAsia"/>
                <w:b/>
                <w:bCs/>
              </w:rPr>
              <w:t xml:space="preserve"> </w:t>
            </w:r>
            <w:r>
              <w:rPr>
                <w:b/>
                <w:bCs/>
              </w:rPr>
              <w:fldChar w:fldCharType="begin"/>
            </w:r>
            <w:r>
              <w:rPr>
                <w:b/>
                <w:bCs/>
              </w:rPr>
              <w:instrText xml:space="preserve"> </w:instrText>
            </w:r>
            <w:r>
              <w:rPr>
                <w:rFonts w:hint="eastAsia"/>
                <w:b/>
                <w:bCs/>
              </w:rPr>
              <w:instrText xml:space="preserve">eq \o\ac(□,√)</w:instrText>
            </w:r>
            <w:r>
              <w:rPr>
                <w:b/>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Merge w:val="continue"/>
            <w:vAlign w:val="center"/>
          </w:tcPr>
          <w:p>
            <w:pPr>
              <w:spacing w:line="400" w:lineRule="exact"/>
              <w:ind w:firstLine="420"/>
            </w:pPr>
          </w:p>
        </w:tc>
        <w:tc>
          <w:tcPr>
            <w:tcW w:w="456" w:type="dxa"/>
            <w:vAlign w:val="center"/>
          </w:tcPr>
          <w:p>
            <w:pPr>
              <w:spacing w:line="400" w:lineRule="exact"/>
              <w:ind w:firstLine="420"/>
            </w:pPr>
            <w:r>
              <w:rPr>
                <w:rFonts w:hint="eastAsia"/>
              </w:rPr>
              <w:t>详详细说明</w:t>
            </w:r>
          </w:p>
        </w:tc>
        <w:tc>
          <w:tcPr>
            <w:tcW w:w="6852" w:type="dxa"/>
            <w:gridSpan w:val="2"/>
            <w:vAlign w:val="center"/>
          </w:tcPr>
          <w:p>
            <w:pPr>
              <w:spacing w:line="400" w:lineRule="exact"/>
              <w:ind w:firstLine="420"/>
            </w:pPr>
            <w:r>
              <w:rPr>
                <w:rFonts w:hint="eastAsia"/>
              </w:rPr>
              <w:t>根据《公平竞争审查制度实施细则（暂行）》第十八条之规定，适用例外规定需满足符合社会公益、对实现政策目的不可或缺、不会严重排除和限制市场竞争、明确实施期限等条件，经本所审查，该条不符合相关的例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其他需要说明的情况</w:t>
            </w:r>
          </w:p>
        </w:tc>
        <w:tc>
          <w:tcPr>
            <w:tcW w:w="7308" w:type="dxa"/>
            <w:gridSpan w:val="3"/>
            <w:vAlign w:val="center"/>
          </w:tcPr>
          <w:p>
            <w:pPr>
              <w:spacing w:line="400" w:lineRule="exact"/>
              <w:ind w:firstLine="420"/>
            </w:pPr>
            <w:r>
              <w:rPr>
                <w:rFonts w:hint="eastAsia"/>
              </w:rPr>
              <w:t>本文件与市场主体经济活动的关系紧密，其中，部分条款涉嫌违反公平竞争，需要进一步整改。</w:t>
            </w:r>
          </w:p>
          <w:p>
            <w:pPr>
              <w:spacing w:line="400" w:lineRule="exact"/>
              <w:ind w:firstLine="420"/>
            </w:pPr>
            <w:r>
              <w:rPr>
                <w:rFonts w:hint="eastAsia"/>
              </w:rPr>
              <w:t>修改意见：1</w:t>
            </w:r>
            <w:r>
              <w:t xml:space="preserve">. </w:t>
            </w:r>
            <w:r>
              <w:rPr>
                <w:rFonts w:hint="eastAsia"/>
              </w:rPr>
              <w:t>如该规定有特殊原因，或者符合公平竞争审查例外规定之处，请向鄂州市市场监督管理局或本次第三方评估机构书面说明情况；2</w:t>
            </w:r>
            <w:r>
              <w:t xml:space="preserve">. </w:t>
            </w:r>
            <w:r>
              <w:rPr>
                <w:rFonts w:hint="eastAsia"/>
              </w:rPr>
              <w:t>如无特殊情况，请将文件中 “打造精品专业市场，对实现集中收银并纳入服务业统计库的商业综合体，当年奖励10万元，对年度税收或经济体量贡献较大的，次年一次性追加奖励5万元。……对规模（限额）以上服务业企业年度税收在同行业（按国民经济行业分类大类划分）排前3名的服务业企业，一次性奖励5万元”删掉或以其他标准替换，并依法予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420"/>
            </w:pPr>
          </w:p>
          <w:p>
            <w:pPr>
              <w:spacing w:line="400" w:lineRule="exact"/>
              <w:ind w:firstLine="0" w:firstLineChars="0"/>
            </w:pPr>
            <w:r>
              <w:rPr>
                <w:rFonts w:hint="eastAsia"/>
              </w:rPr>
              <w:t>备注</w:t>
            </w:r>
          </w:p>
          <w:p>
            <w:pPr>
              <w:spacing w:line="400" w:lineRule="exact"/>
              <w:ind w:firstLine="420"/>
            </w:pPr>
          </w:p>
        </w:tc>
        <w:tc>
          <w:tcPr>
            <w:tcW w:w="7308" w:type="dxa"/>
            <w:gridSpan w:val="3"/>
            <w:vAlign w:val="center"/>
          </w:tcPr>
          <w:p>
            <w:pPr>
              <w:spacing w:line="400" w:lineRule="exact"/>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8" w:type="dxa"/>
            <w:vAlign w:val="center"/>
          </w:tcPr>
          <w:p>
            <w:pPr>
              <w:spacing w:line="400" w:lineRule="exact"/>
              <w:ind w:firstLine="0" w:firstLineChars="0"/>
            </w:pPr>
            <w:r>
              <w:rPr>
                <w:rFonts w:hint="eastAsia"/>
              </w:rPr>
              <w:t>审查机构主要负责人意见</w:t>
            </w:r>
          </w:p>
        </w:tc>
        <w:tc>
          <w:tcPr>
            <w:tcW w:w="7308" w:type="dxa"/>
            <w:gridSpan w:val="3"/>
            <w:vAlign w:val="center"/>
          </w:tcPr>
          <w:p>
            <w:pPr>
              <w:spacing w:line="400" w:lineRule="exact"/>
              <w:ind w:firstLine="420"/>
            </w:pPr>
          </w:p>
          <w:p>
            <w:pPr>
              <w:spacing w:line="400" w:lineRule="exact"/>
              <w:ind w:firstLine="420"/>
            </w:pPr>
            <w:r>
              <w:rPr>
                <w:rFonts w:hint="eastAsia"/>
              </w:rPr>
              <w:t>同意。</w:t>
            </w:r>
          </w:p>
          <w:p>
            <w:pPr>
              <w:spacing w:line="400" w:lineRule="exact"/>
              <w:ind w:firstLine="420"/>
            </w:pPr>
          </w:p>
          <w:p>
            <w:pPr>
              <w:spacing w:line="400" w:lineRule="exact"/>
              <w:ind w:right="960" w:firstLine="420"/>
              <w:jc w:val="center"/>
            </w:pPr>
            <w:r>
              <w:rPr>
                <w:rFonts w:hint="eastAsia"/>
              </w:rPr>
              <w:t xml:space="preserve"> </w:t>
            </w:r>
            <w:r>
              <w:t xml:space="preserve">                                  </w:t>
            </w:r>
            <w:r>
              <w:rPr>
                <w:rFonts w:hint="eastAsia"/>
              </w:rPr>
              <w:t>签字：</w:t>
            </w:r>
          </w:p>
        </w:tc>
      </w:tr>
    </w:tbl>
    <w:p>
      <w:pPr>
        <w:spacing w:afterLines="50"/>
        <w:ind w:firstLine="562"/>
        <w:rPr>
          <w:rFonts w:ascii="黑体" w:hAnsi="黑体" w:eastAsia="黑体" w:cs="黑体"/>
          <w:b/>
          <w:bCs/>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T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12"/>
    <w:rsid w:val="000020DE"/>
    <w:rsid w:val="00005FCF"/>
    <w:rsid w:val="000069DC"/>
    <w:rsid w:val="000117F6"/>
    <w:rsid w:val="00026010"/>
    <w:rsid w:val="000328AE"/>
    <w:rsid w:val="00044654"/>
    <w:rsid w:val="00046B7D"/>
    <w:rsid w:val="00061A4C"/>
    <w:rsid w:val="00086C4E"/>
    <w:rsid w:val="000911E2"/>
    <w:rsid w:val="00093D9C"/>
    <w:rsid w:val="000A1456"/>
    <w:rsid w:val="000A21EE"/>
    <w:rsid w:val="000A321A"/>
    <w:rsid w:val="000C39CE"/>
    <w:rsid w:val="000C62DE"/>
    <w:rsid w:val="000C76E5"/>
    <w:rsid w:val="000D2DA1"/>
    <w:rsid w:val="000D4792"/>
    <w:rsid w:val="000D68BC"/>
    <w:rsid w:val="000E2C38"/>
    <w:rsid w:val="000E7BA8"/>
    <w:rsid w:val="000F1079"/>
    <w:rsid w:val="000F2802"/>
    <w:rsid w:val="001047F1"/>
    <w:rsid w:val="00107319"/>
    <w:rsid w:val="00107742"/>
    <w:rsid w:val="00107A4C"/>
    <w:rsid w:val="00115766"/>
    <w:rsid w:val="0012039B"/>
    <w:rsid w:val="00130B77"/>
    <w:rsid w:val="00132BA4"/>
    <w:rsid w:val="00134A0C"/>
    <w:rsid w:val="001360ED"/>
    <w:rsid w:val="00150F4D"/>
    <w:rsid w:val="00153CC8"/>
    <w:rsid w:val="00157D89"/>
    <w:rsid w:val="00162891"/>
    <w:rsid w:val="00171030"/>
    <w:rsid w:val="00180466"/>
    <w:rsid w:val="00181594"/>
    <w:rsid w:val="00182273"/>
    <w:rsid w:val="001844F3"/>
    <w:rsid w:val="0018579E"/>
    <w:rsid w:val="001870DC"/>
    <w:rsid w:val="0019071B"/>
    <w:rsid w:val="00191A6C"/>
    <w:rsid w:val="001A2D04"/>
    <w:rsid w:val="001B0550"/>
    <w:rsid w:val="001B798F"/>
    <w:rsid w:val="001C7B58"/>
    <w:rsid w:val="001D4749"/>
    <w:rsid w:val="001D47BE"/>
    <w:rsid w:val="001D5BF7"/>
    <w:rsid w:val="001D6400"/>
    <w:rsid w:val="001E09B3"/>
    <w:rsid w:val="001E14BC"/>
    <w:rsid w:val="001E256F"/>
    <w:rsid w:val="001F3A42"/>
    <w:rsid w:val="001F5881"/>
    <w:rsid w:val="001F611D"/>
    <w:rsid w:val="002029DD"/>
    <w:rsid w:val="00203420"/>
    <w:rsid w:val="00215BD2"/>
    <w:rsid w:val="00223DF4"/>
    <w:rsid w:val="00225D2A"/>
    <w:rsid w:val="00235535"/>
    <w:rsid w:val="00240383"/>
    <w:rsid w:val="00240B39"/>
    <w:rsid w:val="00241700"/>
    <w:rsid w:val="002450D3"/>
    <w:rsid w:val="00247E0F"/>
    <w:rsid w:val="00251196"/>
    <w:rsid w:val="00251E5C"/>
    <w:rsid w:val="00252BDE"/>
    <w:rsid w:val="00256F33"/>
    <w:rsid w:val="00273B9B"/>
    <w:rsid w:val="00287D4D"/>
    <w:rsid w:val="002974DB"/>
    <w:rsid w:val="002A2CF8"/>
    <w:rsid w:val="002A5019"/>
    <w:rsid w:val="002B06AC"/>
    <w:rsid w:val="002B1030"/>
    <w:rsid w:val="002B2334"/>
    <w:rsid w:val="002B5E95"/>
    <w:rsid w:val="002C000F"/>
    <w:rsid w:val="002C1AA6"/>
    <w:rsid w:val="002D1562"/>
    <w:rsid w:val="002D38A9"/>
    <w:rsid w:val="002D51D5"/>
    <w:rsid w:val="002E7020"/>
    <w:rsid w:val="002E72F2"/>
    <w:rsid w:val="00307334"/>
    <w:rsid w:val="00314C3A"/>
    <w:rsid w:val="00317D03"/>
    <w:rsid w:val="00331CD8"/>
    <w:rsid w:val="00332748"/>
    <w:rsid w:val="00332EE7"/>
    <w:rsid w:val="00333437"/>
    <w:rsid w:val="00335E14"/>
    <w:rsid w:val="00341459"/>
    <w:rsid w:val="003424C6"/>
    <w:rsid w:val="00347543"/>
    <w:rsid w:val="00347AC2"/>
    <w:rsid w:val="0035698C"/>
    <w:rsid w:val="00361397"/>
    <w:rsid w:val="003652E7"/>
    <w:rsid w:val="00377BA8"/>
    <w:rsid w:val="003831C2"/>
    <w:rsid w:val="00383607"/>
    <w:rsid w:val="00384923"/>
    <w:rsid w:val="00386A0D"/>
    <w:rsid w:val="003B057E"/>
    <w:rsid w:val="003B0A93"/>
    <w:rsid w:val="003C71FF"/>
    <w:rsid w:val="003D1C3E"/>
    <w:rsid w:val="003D3B0F"/>
    <w:rsid w:val="003D5314"/>
    <w:rsid w:val="003D7305"/>
    <w:rsid w:val="003E0C00"/>
    <w:rsid w:val="003E39C8"/>
    <w:rsid w:val="003E708F"/>
    <w:rsid w:val="003F0F14"/>
    <w:rsid w:val="003F697D"/>
    <w:rsid w:val="00403EC2"/>
    <w:rsid w:val="00415416"/>
    <w:rsid w:val="00446E4F"/>
    <w:rsid w:val="00447F70"/>
    <w:rsid w:val="00450BB9"/>
    <w:rsid w:val="004530F9"/>
    <w:rsid w:val="00453744"/>
    <w:rsid w:val="0045696B"/>
    <w:rsid w:val="004571F3"/>
    <w:rsid w:val="00460C56"/>
    <w:rsid w:val="004657E0"/>
    <w:rsid w:val="004804F6"/>
    <w:rsid w:val="00486FCA"/>
    <w:rsid w:val="00491664"/>
    <w:rsid w:val="00494FC0"/>
    <w:rsid w:val="004972B2"/>
    <w:rsid w:val="004979CC"/>
    <w:rsid w:val="004A059F"/>
    <w:rsid w:val="004A26B8"/>
    <w:rsid w:val="004A2F5F"/>
    <w:rsid w:val="004A3488"/>
    <w:rsid w:val="004A35F0"/>
    <w:rsid w:val="004B247D"/>
    <w:rsid w:val="004B6D15"/>
    <w:rsid w:val="004C06F8"/>
    <w:rsid w:val="004C4419"/>
    <w:rsid w:val="004D34A8"/>
    <w:rsid w:val="004E2797"/>
    <w:rsid w:val="004E62F3"/>
    <w:rsid w:val="004F0A97"/>
    <w:rsid w:val="004F17B4"/>
    <w:rsid w:val="004F1818"/>
    <w:rsid w:val="004F2150"/>
    <w:rsid w:val="004F5021"/>
    <w:rsid w:val="0050547B"/>
    <w:rsid w:val="005061E6"/>
    <w:rsid w:val="00522C1D"/>
    <w:rsid w:val="00531E3F"/>
    <w:rsid w:val="00533CE4"/>
    <w:rsid w:val="0054473E"/>
    <w:rsid w:val="0054495D"/>
    <w:rsid w:val="00552DD1"/>
    <w:rsid w:val="00561212"/>
    <w:rsid w:val="00563160"/>
    <w:rsid w:val="00572912"/>
    <w:rsid w:val="005732EC"/>
    <w:rsid w:val="00577772"/>
    <w:rsid w:val="005777A2"/>
    <w:rsid w:val="00584A3C"/>
    <w:rsid w:val="00591FF3"/>
    <w:rsid w:val="0059585B"/>
    <w:rsid w:val="00597A62"/>
    <w:rsid w:val="005A0C69"/>
    <w:rsid w:val="005A0C71"/>
    <w:rsid w:val="005A26F3"/>
    <w:rsid w:val="005A6B43"/>
    <w:rsid w:val="005B4ABB"/>
    <w:rsid w:val="005C262D"/>
    <w:rsid w:val="005D51BB"/>
    <w:rsid w:val="005D6200"/>
    <w:rsid w:val="005D7575"/>
    <w:rsid w:val="005E4382"/>
    <w:rsid w:val="005E4B6E"/>
    <w:rsid w:val="005E710D"/>
    <w:rsid w:val="005F384C"/>
    <w:rsid w:val="005F42FB"/>
    <w:rsid w:val="006145EA"/>
    <w:rsid w:val="00614A94"/>
    <w:rsid w:val="0062491B"/>
    <w:rsid w:val="006262FF"/>
    <w:rsid w:val="006273F2"/>
    <w:rsid w:val="006343C2"/>
    <w:rsid w:val="00636D48"/>
    <w:rsid w:val="00637E5F"/>
    <w:rsid w:val="00644457"/>
    <w:rsid w:val="006510BF"/>
    <w:rsid w:val="00660F7E"/>
    <w:rsid w:val="0066159E"/>
    <w:rsid w:val="00662E42"/>
    <w:rsid w:val="00664316"/>
    <w:rsid w:val="006679ED"/>
    <w:rsid w:val="00674A74"/>
    <w:rsid w:val="006834C5"/>
    <w:rsid w:val="00685A10"/>
    <w:rsid w:val="00692D66"/>
    <w:rsid w:val="006A3436"/>
    <w:rsid w:val="006A44EB"/>
    <w:rsid w:val="006A4A9F"/>
    <w:rsid w:val="006A641D"/>
    <w:rsid w:val="006A707B"/>
    <w:rsid w:val="006B2AB1"/>
    <w:rsid w:val="006C6A56"/>
    <w:rsid w:val="006D3699"/>
    <w:rsid w:val="006D62AD"/>
    <w:rsid w:val="006E569D"/>
    <w:rsid w:val="00720731"/>
    <w:rsid w:val="00721103"/>
    <w:rsid w:val="0073427D"/>
    <w:rsid w:val="00734800"/>
    <w:rsid w:val="007423CC"/>
    <w:rsid w:val="007512E8"/>
    <w:rsid w:val="00752308"/>
    <w:rsid w:val="00752E64"/>
    <w:rsid w:val="00757B53"/>
    <w:rsid w:val="007624FA"/>
    <w:rsid w:val="0076479F"/>
    <w:rsid w:val="007678F4"/>
    <w:rsid w:val="00775FB0"/>
    <w:rsid w:val="007817C8"/>
    <w:rsid w:val="0078369A"/>
    <w:rsid w:val="007A0F6A"/>
    <w:rsid w:val="007A2FFD"/>
    <w:rsid w:val="007D29BE"/>
    <w:rsid w:val="007D5D31"/>
    <w:rsid w:val="007E244A"/>
    <w:rsid w:val="007E546A"/>
    <w:rsid w:val="007E79B6"/>
    <w:rsid w:val="007F0F96"/>
    <w:rsid w:val="008074B0"/>
    <w:rsid w:val="008105B6"/>
    <w:rsid w:val="00823034"/>
    <w:rsid w:val="0085190F"/>
    <w:rsid w:val="00865EBB"/>
    <w:rsid w:val="0086655D"/>
    <w:rsid w:val="00870144"/>
    <w:rsid w:val="00870AC3"/>
    <w:rsid w:val="008729CC"/>
    <w:rsid w:val="008737A7"/>
    <w:rsid w:val="00880387"/>
    <w:rsid w:val="008949DD"/>
    <w:rsid w:val="008A1213"/>
    <w:rsid w:val="008A4CF4"/>
    <w:rsid w:val="008B1B71"/>
    <w:rsid w:val="008C0215"/>
    <w:rsid w:val="008C513A"/>
    <w:rsid w:val="008C5C09"/>
    <w:rsid w:val="008C7EB3"/>
    <w:rsid w:val="008D537A"/>
    <w:rsid w:val="008D65B5"/>
    <w:rsid w:val="008D7811"/>
    <w:rsid w:val="008E3C7F"/>
    <w:rsid w:val="008E5DD4"/>
    <w:rsid w:val="008F3713"/>
    <w:rsid w:val="008F44C7"/>
    <w:rsid w:val="008F4E32"/>
    <w:rsid w:val="008F784A"/>
    <w:rsid w:val="00904FFD"/>
    <w:rsid w:val="009116E7"/>
    <w:rsid w:val="009134E6"/>
    <w:rsid w:val="009210C7"/>
    <w:rsid w:val="00922C1D"/>
    <w:rsid w:val="00925CB8"/>
    <w:rsid w:val="0093034F"/>
    <w:rsid w:val="009336F7"/>
    <w:rsid w:val="00934F12"/>
    <w:rsid w:val="00935901"/>
    <w:rsid w:val="00940071"/>
    <w:rsid w:val="00941775"/>
    <w:rsid w:val="00946810"/>
    <w:rsid w:val="00950920"/>
    <w:rsid w:val="0095239F"/>
    <w:rsid w:val="00954546"/>
    <w:rsid w:val="00956081"/>
    <w:rsid w:val="00956C75"/>
    <w:rsid w:val="00963115"/>
    <w:rsid w:val="00963DD9"/>
    <w:rsid w:val="009715F1"/>
    <w:rsid w:val="009753A5"/>
    <w:rsid w:val="009754E5"/>
    <w:rsid w:val="00980FA3"/>
    <w:rsid w:val="00983D17"/>
    <w:rsid w:val="009859AD"/>
    <w:rsid w:val="009864D4"/>
    <w:rsid w:val="009A4984"/>
    <w:rsid w:val="009B0CA6"/>
    <w:rsid w:val="009B2457"/>
    <w:rsid w:val="009B310C"/>
    <w:rsid w:val="009B6023"/>
    <w:rsid w:val="009B7050"/>
    <w:rsid w:val="009C22FB"/>
    <w:rsid w:val="009C36AB"/>
    <w:rsid w:val="009C6A67"/>
    <w:rsid w:val="009D357C"/>
    <w:rsid w:val="009D35D7"/>
    <w:rsid w:val="009D50FE"/>
    <w:rsid w:val="009E186E"/>
    <w:rsid w:val="009E2434"/>
    <w:rsid w:val="009E6FC4"/>
    <w:rsid w:val="009E755F"/>
    <w:rsid w:val="009F16FC"/>
    <w:rsid w:val="009F4853"/>
    <w:rsid w:val="009F616A"/>
    <w:rsid w:val="00A03DDD"/>
    <w:rsid w:val="00A059DB"/>
    <w:rsid w:val="00A07367"/>
    <w:rsid w:val="00A1327F"/>
    <w:rsid w:val="00A14796"/>
    <w:rsid w:val="00A16D8D"/>
    <w:rsid w:val="00A25948"/>
    <w:rsid w:val="00A33DCB"/>
    <w:rsid w:val="00A35A54"/>
    <w:rsid w:val="00A50CDE"/>
    <w:rsid w:val="00A52590"/>
    <w:rsid w:val="00A7125E"/>
    <w:rsid w:val="00A73389"/>
    <w:rsid w:val="00A74D55"/>
    <w:rsid w:val="00A7553E"/>
    <w:rsid w:val="00A77B40"/>
    <w:rsid w:val="00A80DAC"/>
    <w:rsid w:val="00A84913"/>
    <w:rsid w:val="00A86E6C"/>
    <w:rsid w:val="00A924C8"/>
    <w:rsid w:val="00A94123"/>
    <w:rsid w:val="00A954D8"/>
    <w:rsid w:val="00AB2333"/>
    <w:rsid w:val="00AB3F32"/>
    <w:rsid w:val="00AB4F3F"/>
    <w:rsid w:val="00AB5B9E"/>
    <w:rsid w:val="00AB5DDD"/>
    <w:rsid w:val="00AC0F1A"/>
    <w:rsid w:val="00AD0B0F"/>
    <w:rsid w:val="00AD67B6"/>
    <w:rsid w:val="00AE030D"/>
    <w:rsid w:val="00AE1D1E"/>
    <w:rsid w:val="00AE2F2F"/>
    <w:rsid w:val="00AE50A7"/>
    <w:rsid w:val="00AE5948"/>
    <w:rsid w:val="00AF0EFC"/>
    <w:rsid w:val="00AF1A52"/>
    <w:rsid w:val="00AF24F9"/>
    <w:rsid w:val="00AF28AC"/>
    <w:rsid w:val="00AF4E4D"/>
    <w:rsid w:val="00AF6440"/>
    <w:rsid w:val="00AF6D33"/>
    <w:rsid w:val="00B00833"/>
    <w:rsid w:val="00B0200A"/>
    <w:rsid w:val="00B04F93"/>
    <w:rsid w:val="00B15874"/>
    <w:rsid w:val="00B16DA6"/>
    <w:rsid w:val="00B2340B"/>
    <w:rsid w:val="00B25ED6"/>
    <w:rsid w:val="00B41964"/>
    <w:rsid w:val="00B44358"/>
    <w:rsid w:val="00B57A4B"/>
    <w:rsid w:val="00B6289C"/>
    <w:rsid w:val="00B73C05"/>
    <w:rsid w:val="00B74D3D"/>
    <w:rsid w:val="00B75EAE"/>
    <w:rsid w:val="00B94A3E"/>
    <w:rsid w:val="00B97166"/>
    <w:rsid w:val="00BA11FF"/>
    <w:rsid w:val="00BA2105"/>
    <w:rsid w:val="00BA2D51"/>
    <w:rsid w:val="00BB0A9A"/>
    <w:rsid w:val="00BB1F51"/>
    <w:rsid w:val="00BB6DF8"/>
    <w:rsid w:val="00BD5207"/>
    <w:rsid w:val="00BD69F3"/>
    <w:rsid w:val="00BE0A4F"/>
    <w:rsid w:val="00BE239D"/>
    <w:rsid w:val="00BF3EB6"/>
    <w:rsid w:val="00BF5CF9"/>
    <w:rsid w:val="00BF6A89"/>
    <w:rsid w:val="00BF7EFC"/>
    <w:rsid w:val="00C0056A"/>
    <w:rsid w:val="00C40E91"/>
    <w:rsid w:val="00C421C6"/>
    <w:rsid w:val="00C47F94"/>
    <w:rsid w:val="00C50491"/>
    <w:rsid w:val="00C51F43"/>
    <w:rsid w:val="00C53AC2"/>
    <w:rsid w:val="00C53ADE"/>
    <w:rsid w:val="00C63A0E"/>
    <w:rsid w:val="00C70F37"/>
    <w:rsid w:val="00C74D67"/>
    <w:rsid w:val="00C75A07"/>
    <w:rsid w:val="00C8333C"/>
    <w:rsid w:val="00C85498"/>
    <w:rsid w:val="00C86E3A"/>
    <w:rsid w:val="00C9233B"/>
    <w:rsid w:val="00CA23FA"/>
    <w:rsid w:val="00CA3014"/>
    <w:rsid w:val="00CC60D1"/>
    <w:rsid w:val="00CD0D27"/>
    <w:rsid w:val="00CD3734"/>
    <w:rsid w:val="00CD3930"/>
    <w:rsid w:val="00CE147B"/>
    <w:rsid w:val="00CE2E10"/>
    <w:rsid w:val="00CE37EE"/>
    <w:rsid w:val="00CF07BA"/>
    <w:rsid w:val="00CF4E82"/>
    <w:rsid w:val="00D0529D"/>
    <w:rsid w:val="00D05556"/>
    <w:rsid w:val="00D07135"/>
    <w:rsid w:val="00D136C6"/>
    <w:rsid w:val="00D17BE7"/>
    <w:rsid w:val="00D2252A"/>
    <w:rsid w:val="00D3594A"/>
    <w:rsid w:val="00D40B94"/>
    <w:rsid w:val="00D43528"/>
    <w:rsid w:val="00D47B0B"/>
    <w:rsid w:val="00D52978"/>
    <w:rsid w:val="00D52A2C"/>
    <w:rsid w:val="00D558B5"/>
    <w:rsid w:val="00D63658"/>
    <w:rsid w:val="00D65298"/>
    <w:rsid w:val="00D6539F"/>
    <w:rsid w:val="00D679C5"/>
    <w:rsid w:val="00D720C4"/>
    <w:rsid w:val="00D73860"/>
    <w:rsid w:val="00D77963"/>
    <w:rsid w:val="00D9183E"/>
    <w:rsid w:val="00D95D7C"/>
    <w:rsid w:val="00D95FBC"/>
    <w:rsid w:val="00D976E2"/>
    <w:rsid w:val="00DA1861"/>
    <w:rsid w:val="00DA442F"/>
    <w:rsid w:val="00DA6780"/>
    <w:rsid w:val="00DB09D9"/>
    <w:rsid w:val="00DB391E"/>
    <w:rsid w:val="00DB499D"/>
    <w:rsid w:val="00DB6EA7"/>
    <w:rsid w:val="00DB7788"/>
    <w:rsid w:val="00DD33A8"/>
    <w:rsid w:val="00DE3CCC"/>
    <w:rsid w:val="00E03BC4"/>
    <w:rsid w:val="00E05722"/>
    <w:rsid w:val="00E104B7"/>
    <w:rsid w:val="00E1215C"/>
    <w:rsid w:val="00E131D6"/>
    <w:rsid w:val="00E13471"/>
    <w:rsid w:val="00E148F0"/>
    <w:rsid w:val="00E2691A"/>
    <w:rsid w:val="00E32DFC"/>
    <w:rsid w:val="00E33F91"/>
    <w:rsid w:val="00E35C69"/>
    <w:rsid w:val="00E4396E"/>
    <w:rsid w:val="00E44A8A"/>
    <w:rsid w:val="00E44F92"/>
    <w:rsid w:val="00E46D3A"/>
    <w:rsid w:val="00E47AD0"/>
    <w:rsid w:val="00E50F07"/>
    <w:rsid w:val="00E5390E"/>
    <w:rsid w:val="00E6111E"/>
    <w:rsid w:val="00E639BB"/>
    <w:rsid w:val="00E6447B"/>
    <w:rsid w:val="00E70F01"/>
    <w:rsid w:val="00E73171"/>
    <w:rsid w:val="00E80C8D"/>
    <w:rsid w:val="00E83455"/>
    <w:rsid w:val="00E927A0"/>
    <w:rsid w:val="00EA319E"/>
    <w:rsid w:val="00EA38F6"/>
    <w:rsid w:val="00EA4E8D"/>
    <w:rsid w:val="00EB31FE"/>
    <w:rsid w:val="00EB4046"/>
    <w:rsid w:val="00EB6C6C"/>
    <w:rsid w:val="00EC080A"/>
    <w:rsid w:val="00EC49D5"/>
    <w:rsid w:val="00ED57D8"/>
    <w:rsid w:val="00EE290E"/>
    <w:rsid w:val="00EE3C81"/>
    <w:rsid w:val="00EF1834"/>
    <w:rsid w:val="00F00E55"/>
    <w:rsid w:val="00F02F82"/>
    <w:rsid w:val="00F1482B"/>
    <w:rsid w:val="00F14D1A"/>
    <w:rsid w:val="00F17766"/>
    <w:rsid w:val="00F314AF"/>
    <w:rsid w:val="00F324A8"/>
    <w:rsid w:val="00F33D2C"/>
    <w:rsid w:val="00F41BEA"/>
    <w:rsid w:val="00F530C2"/>
    <w:rsid w:val="00F55486"/>
    <w:rsid w:val="00F56CF0"/>
    <w:rsid w:val="00F56E11"/>
    <w:rsid w:val="00F57723"/>
    <w:rsid w:val="00F60E4B"/>
    <w:rsid w:val="00F638B3"/>
    <w:rsid w:val="00F74B64"/>
    <w:rsid w:val="00F74E7D"/>
    <w:rsid w:val="00F769D4"/>
    <w:rsid w:val="00F76EDC"/>
    <w:rsid w:val="00F77EB8"/>
    <w:rsid w:val="00F804CE"/>
    <w:rsid w:val="00F82302"/>
    <w:rsid w:val="00F842D7"/>
    <w:rsid w:val="00F9423E"/>
    <w:rsid w:val="00F94C8E"/>
    <w:rsid w:val="00F975D7"/>
    <w:rsid w:val="00FA4426"/>
    <w:rsid w:val="00FB1700"/>
    <w:rsid w:val="00FB42EB"/>
    <w:rsid w:val="00FB4B4A"/>
    <w:rsid w:val="00FB54FC"/>
    <w:rsid w:val="00FB6273"/>
    <w:rsid w:val="00FB771F"/>
    <w:rsid w:val="00FB7E7C"/>
    <w:rsid w:val="00FC3716"/>
    <w:rsid w:val="00FD0D05"/>
    <w:rsid w:val="00FD18B0"/>
    <w:rsid w:val="00FD1B6E"/>
    <w:rsid w:val="00FD43B4"/>
    <w:rsid w:val="00FD5573"/>
    <w:rsid w:val="00FE0107"/>
    <w:rsid w:val="00FE38AF"/>
    <w:rsid w:val="00FE3AF0"/>
    <w:rsid w:val="00FF15B6"/>
    <w:rsid w:val="00FF256B"/>
    <w:rsid w:val="08083D4D"/>
    <w:rsid w:val="12777A48"/>
    <w:rsid w:val="143371FE"/>
    <w:rsid w:val="17F02F00"/>
    <w:rsid w:val="1FA44EDA"/>
    <w:rsid w:val="201B1B64"/>
    <w:rsid w:val="235D0FF9"/>
    <w:rsid w:val="28680DA1"/>
    <w:rsid w:val="29361096"/>
    <w:rsid w:val="29DC233B"/>
    <w:rsid w:val="2B95427E"/>
    <w:rsid w:val="2E283143"/>
    <w:rsid w:val="35BE54E7"/>
    <w:rsid w:val="3885208B"/>
    <w:rsid w:val="3E1E5CB4"/>
    <w:rsid w:val="4CA27DD1"/>
    <w:rsid w:val="54F16155"/>
    <w:rsid w:val="57B566A2"/>
    <w:rsid w:val="5BFB15A7"/>
    <w:rsid w:val="600751A3"/>
    <w:rsid w:val="605E0DAD"/>
    <w:rsid w:val="62412A6E"/>
    <w:rsid w:val="6C816BC7"/>
    <w:rsid w:val="6FC75171"/>
    <w:rsid w:val="7CE23512"/>
    <w:rsid w:val="7FCD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8"/>
    <w:unhideWhenUsed/>
    <w:qFormat/>
    <w:uiPriority w:val="99"/>
    <w:pPr>
      <w:ind w:left="100" w:leftChars="2500"/>
    </w:pPr>
  </w:style>
  <w:style w:type="paragraph" w:styleId="4">
    <w:name w:val="Balloon Text"/>
    <w:basedOn w:val="1"/>
    <w:link w:val="14"/>
    <w:unhideWhenUsed/>
    <w:qFormat/>
    <w:uiPriority w:val="99"/>
    <w:pPr>
      <w:spacing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qFormat/>
    <w:uiPriority w:val="0"/>
    <w:rPr>
      <w:color w:val="0000FF"/>
      <w:u w:val="single"/>
    </w:rPr>
  </w:style>
  <w:style w:type="character" w:customStyle="1" w:styleId="13">
    <w:name w:val="article_print1"/>
    <w:basedOn w:val="9"/>
    <w:qFormat/>
    <w:uiPriority w:val="0"/>
  </w:style>
  <w:style w:type="character" w:customStyle="1" w:styleId="14">
    <w:name w:val="批注框文本 Char"/>
    <w:basedOn w:val="9"/>
    <w:link w:val="4"/>
    <w:semiHidden/>
    <w:qFormat/>
    <w:uiPriority w:val="99"/>
    <w:rPr>
      <w:sz w:val="18"/>
      <w:szCs w:val="18"/>
    </w:rPr>
  </w:style>
  <w:style w:type="character" w:customStyle="1" w:styleId="15">
    <w:name w:val="style_kwd"/>
    <w:basedOn w:val="9"/>
    <w:qFormat/>
    <w:uiPriority w:val="0"/>
  </w:style>
  <w:style w:type="character" w:customStyle="1" w:styleId="16">
    <w:name w:val="页眉 Char"/>
    <w:basedOn w:val="9"/>
    <w:link w:val="6"/>
    <w:semiHidden/>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日期 Char"/>
    <w:basedOn w:val="9"/>
    <w:link w:val="3"/>
    <w:semiHidden/>
    <w:qFormat/>
    <w:uiPriority w:val="99"/>
  </w:style>
  <w:style w:type="character" w:customStyle="1" w:styleId="19">
    <w:name w:val="标题 1 Char"/>
    <w:basedOn w:val="9"/>
    <w:link w:val="2"/>
    <w:qFormat/>
    <w:uiPriority w:val="9"/>
    <w:rPr>
      <w:rFonts w:ascii="宋体" w:hAnsi="宋体" w:eastAsia="宋体" w:cs="宋体"/>
      <w:b/>
      <w:bCs/>
      <w:kern w:val="36"/>
      <w:sz w:val="48"/>
      <w:szCs w:val="48"/>
    </w:rPr>
  </w:style>
  <w:style w:type="character" w:customStyle="1" w:styleId="20">
    <w:name w:val="fontstyle01"/>
    <w:basedOn w:val="9"/>
    <w:qFormat/>
    <w:uiPriority w:val="0"/>
    <w:rPr>
      <w:rFonts w:hint="default" w:ascii="FZHTK--GBK1-0" w:hAnsi="FZHTK--GBK1-0"/>
      <w:color w:val="000000"/>
      <w:sz w:val="30"/>
      <w:szCs w:val="30"/>
    </w:rPr>
  </w:style>
  <w:style w:type="character" w:customStyle="1" w:styleId="21">
    <w:name w:val="fontstyle21"/>
    <w:basedOn w:val="9"/>
    <w:qFormat/>
    <w:uiPriority w:val="0"/>
    <w:rPr>
      <w:rFonts w:hint="default" w:ascii="FZFSK--GBK1-0" w:hAnsi="FZFSK--GBK1-0"/>
      <w:color w:val="000000"/>
      <w:sz w:val="30"/>
      <w:szCs w:val="30"/>
    </w:rPr>
  </w:style>
  <w:style w:type="character" w:customStyle="1" w:styleId="22">
    <w:name w:val="fontstyle31"/>
    <w:basedOn w:val="9"/>
    <w:qFormat/>
    <w:uiPriority w:val="0"/>
    <w:rPr>
      <w:rFonts w:hint="default" w:ascii="TimesNewRomanPSMT" w:hAnsi="TimesNewRomanPSMT"/>
      <w:color w:val="000000"/>
      <w:sz w:val="30"/>
      <w:szCs w:val="30"/>
    </w:rPr>
  </w:style>
  <w:style w:type="paragraph" w:customStyle="1" w:styleId="23">
    <w:name w:val="zhang"/>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4">
    <w:name w:val="bjh-p"/>
    <w:basedOn w:val="9"/>
    <w:qFormat/>
    <w:uiPriority w:val="0"/>
  </w:style>
  <w:style w:type="character" w:customStyle="1" w:styleId="25">
    <w:name w:val="bjh-strong"/>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5133</Words>
  <Characters>29264</Characters>
  <Lines>243</Lines>
  <Paragraphs>68</Paragraphs>
  <TotalTime>49</TotalTime>
  <ScaleCrop>false</ScaleCrop>
  <LinksUpToDate>false</LinksUpToDate>
  <CharactersWithSpaces>34329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2020-10-05T09:41:00Z</dcterms:created>
  <dc:creator>Administrator</dc:creator>
  <cp:lastModifiedBy>坚持</cp:lastModifiedBy>
  <cp:lastPrinted>2020-12-07T01:54:00Z</cp:lastPrinted>
  <dcterms:modified xsi:type="dcterms:W3CDTF">2021-12-17T04:34:03Z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B4EAA70FBC954DF2A9EB55DC2D5A6C01</vt:lpwstr>
  </property>
</Properties>
</file>