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Times New Roman" w:hAnsi="Times New Roman" w:eastAsia="黑体" w:cs="黑体"/>
          <w:bCs/>
          <w:color w:val="000000"/>
          <w:sz w:val="32"/>
          <w:szCs w:val="32"/>
        </w:rPr>
      </w:pPr>
      <w:bookmarkStart w:id="0" w:name="fldWJNR2"/>
      <w:r>
        <w:rPr>
          <w:rFonts w:hint="eastAsia" w:ascii="Times New Roman" w:hAnsi="Times New Roman" w:eastAsia="黑体" w:cs="黑体"/>
          <w:bCs/>
          <w:color w:val="000000"/>
          <w:sz w:val="32"/>
          <w:szCs w:val="32"/>
        </w:rPr>
        <w:t>附件2</w:t>
      </w:r>
    </w:p>
    <w:p>
      <w:pPr>
        <w:spacing w:line="594" w:lineRule="exact"/>
        <w:jc w:val="center"/>
        <w:rPr>
          <w:rFonts w:ascii="Times New Roman" w:hAnsi="Times New Roman" w:eastAsia="黑体" w:cs="华文楷体"/>
          <w:bCs/>
          <w:color w:val="000000"/>
        </w:rPr>
      </w:pPr>
    </w:p>
    <w:p>
      <w:pPr>
        <w:keepNext w:val="0"/>
        <w:keepLines w:val="0"/>
        <w:pageBreakBefore w:val="0"/>
        <w:widowControl w:val="0"/>
        <w:kinsoku/>
        <w:wordWrap/>
        <w:overflowPunct/>
        <w:topLinePunct w:val="0"/>
        <w:autoSpaceDE/>
        <w:autoSpaceDN/>
        <w:bidi w:val="0"/>
        <w:adjustRightInd/>
        <w:snapToGrid/>
        <w:spacing w:line="594" w:lineRule="exact"/>
        <w:ind w:firstLine="0"/>
        <w:jc w:val="center"/>
        <w:textAlignment w:val="auto"/>
        <w:outlineLvl w:val="9"/>
        <w:rPr>
          <w:rFonts w:hint="eastAsia" w:ascii="Times New Roman" w:hAnsi="Times New Roman" w:eastAsia="方正小标宋简体" w:cs="华文楷体"/>
          <w:bCs/>
          <w:color w:val="000000"/>
          <w:spacing w:val="-6"/>
          <w:sz w:val="36"/>
          <w:szCs w:val="36"/>
        </w:rPr>
      </w:pPr>
      <w:r>
        <w:rPr>
          <w:rFonts w:hint="eastAsia" w:ascii="Times New Roman" w:hAnsi="Times New Roman" w:eastAsia="方正小标宋简体" w:cs="华文楷体"/>
          <w:bCs/>
          <w:color w:val="000000"/>
          <w:spacing w:val="-6"/>
          <w:sz w:val="36"/>
          <w:szCs w:val="36"/>
        </w:rPr>
        <w:t>企业变更登记、注销登记前置审批事项目录</w:t>
      </w:r>
    </w:p>
    <w:p>
      <w:pPr>
        <w:keepNext w:val="0"/>
        <w:keepLines w:val="0"/>
        <w:pageBreakBefore w:val="0"/>
        <w:widowControl w:val="0"/>
        <w:kinsoku/>
        <w:wordWrap/>
        <w:overflowPunct/>
        <w:topLinePunct w:val="0"/>
        <w:autoSpaceDE/>
        <w:autoSpaceDN/>
        <w:bidi w:val="0"/>
        <w:adjustRightInd/>
        <w:snapToGrid/>
        <w:spacing w:line="594" w:lineRule="exact"/>
        <w:ind w:firstLine="0"/>
        <w:jc w:val="center"/>
        <w:textAlignment w:val="auto"/>
        <w:outlineLvl w:val="9"/>
        <w:rPr>
          <w:rFonts w:hint="eastAsia" w:ascii="Times New Roman" w:hAnsi="Times New Roman" w:eastAsia="方正小标宋简体" w:cs="华文楷体"/>
          <w:bCs/>
          <w:color w:val="000000"/>
          <w:sz w:val="44"/>
          <w:szCs w:val="44"/>
        </w:rPr>
      </w:pPr>
      <w:r>
        <w:rPr>
          <w:rFonts w:hint="eastAsia" w:ascii="楷体_GB2312" w:hAnsi="楷体_GB2312" w:eastAsia="楷体_GB2312" w:cs="楷体_GB2312"/>
          <w:bCs/>
          <w:color w:val="000000"/>
          <w:kern w:val="0"/>
          <w:sz w:val="36"/>
          <w:szCs w:val="36"/>
          <w:lang w:eastAsia="zh-CN"/>
        </w:rPr>
        <w:t>（</w:t>
      </w:r>
      <w:r>
        <w:rPr>
          <w:rFonts w:hint="eastAsia" w:ascii="楷体_GB2312" w:hAnsi="楷体_GB2312" w:eastAsia="楷体_GB2312" w:cs="楷体_GB2312"/>
          <w:sz w:val="32"/>
          <w:lang w:val="en-US" w:eastAsia="zh-CN"/>
        </w:rPr>
        <w:t>2021年</w:t>
      </w:r>
      <w:r>
        <w:rPr>
          <w:rFonts w:hint="eastAsia" w:ascii="楷体_GB2312" w:hAnsi="楷体_GB2312" w:eastAsia="楷体_GB2312" w:cs="楷体_GB2312"/>
          <w:bCs/>
          <w:color w:val="000000"/>
          <w:kern w:val="0"/>
          <w:sz w:val="36"/>
          <w:szCs w:val="36"/>
          <w:lang w:eastAsia="zh-CN"/>
        </w:rPr>
        <w:t>）</w:t>
      </w:r>
    </w:p>
    <w:tbl>
      <w:tblPr>
        <w:tblStyle w:val="6"/>
        <w:tblW w:w="9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
      <w:tblGrid>
        <w:gridCol w:w="552"/>
        <w:gridCol w:w="3255"/>
        <w:gridCol w:w="1920"/>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325" w:hRule="atLeast"/>
          <w:tblHeader/>
          <w:jc w:val="center"/>
        </w:trPr>
        <w:tc>
          <w:tcPr>
            <w:tcW w:w="552" w:type="dxa"/>
            <w:vAlign w:val="center"/>
          </w:tcPr>
          <w:p>
            <w:pPr>
              <w:adjustRightInd w:val="0"/>
              <w:snapToGrid w:val="0"/>
              <w:spacing w:line="320" w:lineRule="exact"/>
              <w:jc w:val="center"/>
              <w:rPr>
                <w:rFonts w:hint="eastAsia" w:ascii="Times New Roman" w:hAnsi="Times New Roman" w:eastAsia="黑体" w:cs="黑体"/>
                <w:b w:val="0"/>
                <w:bCs w:val="0"/>
                <w:color w:val="000000"/>
                <w:sz w:val="20"/>
                <w:szCs w:val="20"/>
              </w:rPr>
            </w:pPr>
            <w:r>
              <w:rPr>
                <w:rFonts w:hint="eastAsia" w:ascii="Times New Roman" w:hAnsi="Times New Roman" w:eastAsia="黑体" w:cs="黑体"/>
                <w:b w:val="0"/>
                <w:bCs w:val="0"/>
                <w:color w:val="000000"/>
                <w:sz w:val="20"/>
                <w:szCs w:val="20"/>
              </w:rPr>
              <w:t>序号</w:t>
            </w:r>
          </w:p>
        </w:tc>
        <w:tc>
          <w:tcPr>
            <w:tcW w:w="3255" w:type="dxa"/>
            <w:vAlign w:val="center"/>
          </w:tcPr>
          <w:p>
            <w:pPr>
              <w:adjustRightInd w:val="0"/>
              <w:snapToGrid w:val="0"/>
              <w:spacing w:line="340" w:lineRule="exact"/>
              <w:jc w:val="center"/>
              <w:rPr>
                <w:rFonts w:hint="eastAsia" w:ascii="Times New Roman" w:hAnsi="Times New Roman" w:eastAsia="黑体" w:cs="黑体"/>
                <w:b w:val="0"/>
                <w:bCs w:val="0"/>
                <w:color w:val="000000"/>
                <w:sz w:val="20"/>
                <w:szCs w:val="20"/>
              </w:rPr>
            </w:pPr>
            <w:r>
              <w:rPr>
                <w:rFonts w:hint="eastAsia" w:ascii="Times New Roman" w:hAnsi="Times New Roman" w:eastAsia="黑体" w:cs="黑体"/>
                <w:b w:val="0"/>
                <w:bCs w:val="0"/>
                <w:color w:val="000000"/>
                <w:sz w:val="20"/>
                <w:szCs w:val="20"/>
              </w:rPr>
              <w:t>项目名称</w:t>
            </w:r>
          </w:p>
        </w:tc>
        <w:tc>
          <w:tcPr>
            <w:tcW w:w="1920" w:type="dxa"/>
            <w:vAlign w:val="center"/>
          </w:tcPr>
          <w:p>
            <w:pPr>
              <w:adjustRightInd w:val="0"/>
              <w:snapToGrid w:val="0"/>
              <w:spacing w:line="340" w:lineRule="exact"/>
              <w:jc w:val="center"/>
              <w:rPr>
                <w:rFonts w:hint="eastAsia" w:ascii="Times New Roman" w:hAnsi="Times New Roman" w:eastAsia="黑体" w:cs="黑体"/>
                <w:b w:val="0"/>
                <w:bCs w:val="0"/>
                <w:color w:val="000000"/>
                <w:sz w:val="20"/>
                <w:szCs w:val="20"/>
              </w:rPr>
            </w:pPr>
            <w:r>
              <w:rPr>
                <w:rFonts w:hint="eastAsia" w:ascii="Times New Roman" w:hAnsi="Times New Roman" w:eastAsia="黑体" w:cs="黑体"/>
                <w:b w:val="0"/>
                <w:bCs w:val="0"/>
                <w:color w:val="000000"/>
                <w:sz w:val="20"/>
                <w:szCs w:val="20"/>
              </w:rPr>
              <w:t>实施部门</w:t>
            </w:r>
          </w:p>
        </w:tc>
        <w:tc>
          <w:tcPr>
            <w:tcW w:w="4005" w:type="dxa"/>
            <w:vAlign w:val="center"/>
          </w:tcPr>
          <w:p>
            <w:pPr>
              <w:adjustRightInd w:val="0"/>
              <w:snapToGrid w:val="0"/>
              <w:spacing w:line="340" w:lineRule="exact"/>
              <w:jc w:val="center"/>
              <w:rPr>
                <w:rFonts w:hint="eastAsia" w:ascii="Times New Roman" w:hAnsi="Times New Roman" w:eastAsia="黑体" w:cs="黑体"/>
                <w:b w:val="0"/>
                <w:bCs w:val="0"/>
                <w:color w:val="000000"/>
                <w:sz w:val="20"/>
                <w:szCs w:val="20"/>
              </w:rPr>
            </w:pPr>
            <w:r>
              <w:rPr>
                <w:rFonts w:hint="eastAsia" w:ascii="Times New Roman" w:hAnsi="Times New Roman" w:eastAsia="黑体" w:cs="黑体"/>
                <w:b w:val="0"/>
                <w:bCs w:val="0"/>
                <w:color w:val="000000"/>
                <w:sz w:val="20"/>
                <w:szCs w:val="20"/>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1004"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rPr>
              <w:t>民用爆炸物品销售</w:t>
            </w:r>
            <w:r>
              <w:rPr>
                <w:rFonts w:hint="eastAsia" w:ascii="Times New Roman" w:hAnsi="Times New Roman" w:eastAsia="仿宋_GB2312" w:cs="仿宋_GB2312"/>
                <w:color w:val="000000"/>
                <w:kern w:val="0"/>
                <w:sz w:val="20"/>
                <w:szCs w:val="20"/>
                <w:lang w:eastAsia="zh-CN"/>
              </w:rPr>
              <w:t>许可</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省级人民政府民用爆炸物品行业主管部门</w:t>
            </w:r>
          </w:p>
        </w:tc>
        <w:tc>
          <w:tcPr>
            <w:tcW w:w="400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《民用爆炸物品安全管理条例》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235"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2</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保安服务企业变更法定代表人</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rPr>
              <w:t>省级人民政府公安</w:t>
            </w:r>
            <w:r>
              <w:rPr>
                <w:rFonts w:hint="eastAsia" w:eastAsia="仿宋_GB2312" w:cs="仿宋_GB2312"/>
                <w:color w:val="000000"/>
                <w:kern w:val="0"/>
                <w:sz w:val="20"/>
                <w:szCs w:val="20"/>
                <w:lang w:eastAsia="zh-CN"/>
              </w:rPr>
              <w:t>部门</w:t>
            </w:r>
          </w:p>
        </w:tc>
        <w:tc>
          <w:tcPr>
            <w:tcW w:w="400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《保安服务管理条例》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235"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kern w:val="0"/>
                <w:sz w:val="20"/>
                <w:szCs w:val="20"/>
              </w:rPr>
              <w:t>经营劳务派遣业务许可</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省、市、县级</w:t>
            </w:r>
            <w:r>
              <w:rPr>
                <w:rFonts w:hint="eastAsia" w:ascii="Times New Roman" w:hAnsi="Times New Roman" w:eastAsia="仿宋_GB2312" w:cs="仿宋_GB2312"/>
                <w:color w:val="000000"/>
                <w:kern w:val="0"/>
                <w:sz w:val="20"/>
                <w:szCs w:val="20"/>
              </w:rPr>
              <w:t>人民政府</w:t>
            </w:r>
            <w:r>
              <w:rPr>
                <w:rFonts w:hint="eastAsia" w:ascii="Times New Roman" w:hAnsi="Times New Roman" w:eastAsia="仿宋_GB2312" w:cs="仿宋_GB2312"/>
                <w:color w:val="000000"/>
                <w:kern w:val="0"/>
                <w:sz w:val="20"/>
                <w:szCs w:val="20"/>
                <w:lang w:eastAsia="zh-CN"/>
              </w:rPr>
              <w:t>人力资源社会保障部门</w:t>
            </w:r>
          </w:p>
        </w:tc>
        <w:tc>
          <w:tcPr>
            <w:tcW w:w="4005" w:type="dxa"/>
            <w:vAlign w:val="center"/>
          </w:tcPr>
          <w:p>
            <w:pPr>
              <w:pStyle w:val="7"/>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sz w:val="20"/>
                <w:szCs w:val="20"/>
              </w:rPr>
              <w:t>《中华人民共和国劳动合同法》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67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4</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直销企业及其分支机构设立和</w:t>
            </w:r>
          </w:p>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变更审批</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eastAsia="仿宋_GB2312" w:cs="仿宋_GB2312"/>
                <w:color w:val="000000"/>
                <w:sz w:val="20"/>
                <w:szCs w:val="20"/>
                <w:lang w:eastAsia="zh-CN"/>
              </w:rPr>
              <w:t>中华人民共和国</w:t>
            </w:r>
            <w:r>
              <w:rPr>
                <w:rFonts w:hint="eastAsia" w:ascii="Times New Roman" w:hAnsi="Times New Roman" w:eastAsia="仿宋_GB2312" w:cs="仿宋_GB2312"/>
                <w:color w:val="000000"/>
                <w:sz w:val="20"/>
                <w:szCs w:val="20"/>
              </w:rPr>
              <w:t>商务部</w:t>
            </w:r>
          </w:p>
        </w:tc>
        <w:tc>
          <w:tcPr>
            <w:tcW w:w="400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《直销管理条例》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对外劳务合作经营资格核准</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省级或者设区的市级人民政府商务行政主管部门</w:t>
            </w:r>
          </w:p>
        </w:tc>
        <w:tc>
          <w:tcPr>
            <w:tcW w:w="400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《对外劳务合作管理条例》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934"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6</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个人征信机构设立分支机构、合并或者分立、变更注册资本、变更出资额审批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eastAsia="仿宋_GB2312" w:cs="仿宋_GB2312"/>
                <w:color w:val="000000"/>
                <w:sz w:val="20"/>
                <w:szCs w:val="20"/>
                <w:lang w:eastAsia="zh-CN"/>
              </w:rPr>
              <w:t>中国</w:t>
            </w:r>
            <w:r>
              <w:rPr>
                <w:rFonts w:hint="eastAsia" w:ascii="Times New Roman" w:hAnsi="Times New Roman" w:eastAsia="仿宋_GB2312" w:cs="仿宋_GB2312"/>
                <w:color w:val="000000"/>
                <w:sz w:val="20"/>
                <w:szCs w:val="20"/>
              </w:rPr>
              <w:t>人民银行</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《征信业管理条例》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362"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7</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出版单位变更名称、主办单位或者其主管</w:t>
            </w:r>
            <w:r>
              <w:rPr>
                <w:rFonts w:hint="eastAsia" w:eastAsia="仿宋_GB2312" w:cs="仿宋_GB2312"/>
                <w:color w:val="000000"/>
                <w:sz w:val="20"/>
                <w:szCs w:val="20"/>
                <w:lang w:eastAsia="zh-CN"/>
              </w:rPr>
              <w:t>部门</w:t>
            </w:r>
            <w:r>
              <w:rPr>
                <w:rFonts w:hint="eastAsia" w:ascii="Times New Roman" w:hAnsi="Times New Roman" w:eastAsia="仿宋_GB2312" w:cs="仿宋_GB2312"/>
                <w:color w:val="000000"/>
                <w:sz w:val="20"/>
                <w:szCs w:val="20"/>
              </w:rPr>
              <w:t>、业务范围、资本结构，合并或者分立，设立分支机构审批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国家新闻出版署</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《出版管理条例》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8</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出版物进口经营单位变更名称、业务范围、资本结构、主办单位或者其主管</w:t>
            </w:r>
            <w:r>
              <w:rPr>
                <w:rFonts w:hint="eastAsia" w:eastAsia="仿宋_GB2312" w:cs="仿宋_GB2312"/>
                <w:color w:val="000000"/>
                <w:sz w:val="20"/>
                <w:szCs w:val="20"/>
                <w:lang w:eastAsia="zh-CN"/>
              </w:rPr>
              <w:t>部门</w:t>
            </w:r>
            <w:r>
              <w:rPr>
                <w:rFonts w:hint="eastAsia" w:ascii="Times New Roman" w:hAnsi="Times New Roman" w:eastAsia="仿宋_GB2312" w:cs="仿宋_GB2312"/>
                <w:color w:val="000000"/>
                <w:sz w:val="20"/>
                <w:szCs w:val="20"/>
              </w:rPr>
              <w:t>，合并或者分立，设立分支机构审批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国家新闻出版署</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《出版管理条例》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815"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9</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中资银行业金融机构及其分支机构变更、终止以及业务范围审批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《中华人民共和国银行业监督管理法》</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《中华人民共和国商业银行法》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288"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非银行金融机构（分支机构）变更、终止以及业务范围审批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《中华人民共和国银行业监督管理法》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462"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11</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外资银行变更注册资本或者营运资金、变更机构名称、营业场所或者办公场所、调整业务范围、变更股东或者调整股东持股比例、修改章程以及终结审批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eastAsia="仿宋_GB2312" w:cs="仿宋_GB2312"/>
                <w:color w:val="000000"/>
                <w:sz w:val="20"/>
                <w:szCs w:val="20"/>
                <w:lang w:eastAsia="zh-CN"/>
              </w:rPr>
              <w:t>中华</w:t>
            </w:r>
            <w:r>
              <w:rPr>
                <w:rFonts w:hint="eastAsia" w:ascii="Times New Roman" w:hAnsi="Times New Roman" w:eastAsia="仿宋_GB2312" w:cs="仿宋_GB2312"/>
                <w:color w:val="000000"/>
                <w:sz w:val="20"/>
                <w:szCs w:val="20"/>
                <w:lang w:eastAsia="zh-CN"/>
              </w:rPr>
              <w:t>人民共和国</w:t>
            </w:r>
            <w:r>
              <w:rPr>
                <w:rFonts w:hint="eastAsia" w:ascii="Times New Roman" w:hAnsi="Times New Roman" w:eastAsia="仿宋_GB2312" w:cs="仿宋_GB2312"/>
                <w:color w:val="000000"/>
                <w:sz w:val="20"/>
                <w:szCs w:val="20"/>
              </w:rPr>
              <w:t>外资银行管理条例》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462"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12</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外国银行代表处变更及终止审批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eastAsia="仿宋_GB2312" w:cs="仿宋_GB2312"/>
                <w:color w:val="000000"/>
                <w:sz w:val="20"/>
                <w:szCs w:val="20"/>
                <w:lang w:eastAsia="zh-CN"/>
              </w:rPr>
              <w:t>中华</w:t>
            </w:r>
            <w:r>
              <w:rPr>
                <w:rFonts w:hint="eastAsia" w:ascii="Times New Roman" w:hAnsi="Times New Roman" w:eastAsia="仿宋_GB2312" w:cs="仿宋_GB2312"/>
                <w:color w:val="000000"/>
                <w:sz w:val="20"/>
                <w:szCs w:val="20"/>
                <w:lang w:eastAsia="zh-CN"/>
              </w:rPr>
              <w:t>人民共和国</w:t>
            </w:r>
            <w:r>
              <w:rPr>
                <w:rFonts w:hint="eastAsia" w:ascii="Times New Roman" w:hAnsi="Times New Roman" w:eastAsia="仿宋_GB2312" w:cs="仿宋_GB2312"/>
                <w:color w:val="000000"/>
                <w:sz w:val="20"/>
                <w:szCs w:val="20"/>
              </w:rPr>
              <w:t>外资银行管理条例》</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rPr>
              <w:t>《外国企业常驻代表机构登记管理条例》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462"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13</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融资</w:t>
            </w:r>
            <w:r>
              <w:rPr>
                <w:rFonts w:hint="eastAsia" w:ascii="Times New Roman" w:hAnsi="Times New Roman" w:eastAsia="仿宋_GB2312" w:cs="仿宋_GB2312"/>
                <w:color w:val="000000"/>
                <w:sz w:val="20"/>
                <w:szCs w:val="20"/>
                <w:lang w:eastAsia="zh-CN"/>
              </w:rPr>
              <w:t>担保公司</w:t>
            </w:r>
            <w:r>
              <w:rPr>
                <w:rFonts w:hint="eastAsia" w:ascii="Times New Roman" w:hAnsi="Times New Roman" w:eastAsia="仿宋_GB2312" w:cs="仿宋_GB2312"/>
                <w:color w:val="000000"/>
                <w:sz w:val="20"/>
                <w:szCs w:val="20"/>
              </w:rPr>
              <w:t>变更审批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省级人民政府确定的部门</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《国务院对确需保留的行政审批项目设定行政许可的决定》（国务院令第548号）</w:t>
            </w:r>
          </w:p>
          <w:p>
            <w:pPr>
              <w:adjustRightInd w:val="0"/>
              <w:snapToGrid w:val="0"/>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《融资担保公司监督管理条例》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67"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14</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证券登记结算机构解散审批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中国证券监督管理委员会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kern w:val="0"/>
                <w:sz w:val="20"/>
                <w:szCs w:val="20"/>
              </w:rPr>
              <w:t>中华人民共和国</w:t>
            </w:r>
            <w:r>
              <w:rPr>
                <w:rFonts w:hint="eastAsia" w:ascii="Times New Roman" w:hAnsi="Times New Roman" w:eastAsia="仿宋_GB2312" w:cs="仿宋_GB2312"/>
                <w:color w:val="000000"/>
                <w:sz w:val="20"/>
                <w:szCs w:val="20"/>
              </w:rPr>
              <w:t>证券法》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15</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证券公司变更业务范围、变更主要股东或者公司的实际控制人，合并、分立、停业、解散、破产审批</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中国证券监督管理委员会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kern w:val="0"/>
                <w:sz w:val="20"/>
                <w:szCs w:val="20"/>
              </w:rPr>
              <w:t>中华人民共和国</w:t>
            </w:r>
            <w:r>
              <w:rPr>
                <w:rFonts w:hint="eastAsia" w:ascii="Times New Roman" w:hAnsi="Times New Roman" w:eastAsia="仿宋_GB2312" w:cs="仿宋_GB2312"/>
                <w:color w:val="000000"/>
                <w:sz w:val="20"/>
                <w:szCs w:val="20"/>
              </w:rPr>
              <w:t>证券法》</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《证券公司监督管理条例》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491"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1</w:t>
            </w:r>
            <w:r>
              <w:rPr>
                <w:rFonts w:hint="eastAsia" w:ascii="Times New Roman" w:hAnsi="Times New Roman" w:eastAsia="仿宋_GB2312" w:cs="仿宋_GB2312"/>
                <w:color w:val="000000"/>
                <w:sz w:val="20"/>
                <w:szCs w:val="20"/>
                <w:lang w:val="en-US" w:eastAsia="zh-CN"/>
              </w:rPr>
              <w:t>6</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rPr>
            </w:pPr>
            <w:r>
              <w:rPr>
                <w:rFonts w:hint="eastAsia" w:ascii="Times New Roman" w:hAnsi="Times New Roman" w:eastAsia="仿宋_GB2312" w:cs="仿宋_GB2312"/>
                <w:color w:val="000000"/>
                <w:sz w:val="20"/>
                <w:szCs w:val="20"/>
              </w:rPr>
              <w:t>证券金融公司解散审批</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w:t>
            </w:r>
          </w:p>
        </w:tc>
        <w:tc>
          <w:tcPr>
            <w:tcW w:w="400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《证券公司监督管理条例》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1</w:t>
            </w:r>
            <w:r>
              <w:rPr>
                <w:rFonts w:hint="eastAsia" w:ascii="Times New Roman" w:hAnsi="Times New Roman" w:eastAsia="仿宋_GB2312" w:cs="仿宋_GB2312"/>
                <w:color w:val="000000"/>
                <w:sz w:val="20"/>
                <w:szCs w:val="20"/>
                <w:lang w:val="en-US" w:eastAsia="zh-CN"/>
              </w:rPr>
              <w:t>7</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期货公司境内及境外期货经纪业务、期货投资咨询业务许可</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中国证券监督管理委员会及其派出</w:t>
            </w:r>
          </w:p>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机构</w:t>
            </w:r>
          </w:p>
        </w:tc>
        <w:tc>
          <w:tcPr>
            <w:tcW w:w="400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《期货交易管理条例》</w:t>
            </w:r>
          </w:p>
          <w:p>
            <w:pPr>
              <w:spacing w:line="34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eastAsia="zh-CN"/>
              </w:rPr>
              <w:t>《国务院关于第六批取消和调整行政审批项目的决定》（</w:t>
            </w:r>
            <w:r>
              <w:rPr>
                <w:rFonts w:hint="eastAsia" w:ascii="Times New Roman" w:hAnsi="Times New Roman" w:eastAsia="仿宋_GB2312" w:cs="仿宋_GB2312"/>
                <w:color w:val="000000"/>
                <w:sz w:val="20"/>
                <w:szCs w:val="20"/>
              </w:rPr>
              <w:t>国发〔</w:t>
            </w:r>
            <w:r>
              <w:rPr>
                <w:rFonts w:hint="eastAsia" w:ascii="Times New Roman" w:hAnsi="Times New Roman" w:eastAsia="仿宋_GB2312" w:cs="仿宋_GB2312"/>
                <w:color w:val="000000"/>
                <w:sz w:val="20"/>
                <w:szCs w:val="20"/>
                <w:lang w:val="en-US" w:eastAsia="zh-CN"/>
              </w:rPr>
              <w:t>2012</w:t>
            </w: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val="en-US" w:eastAsia="zh-CN"/>
              </w:rPr>
              <w:t>52</w:t>
            </w:r>
            <w:r>
              <w:rPr>
                <w:rFonts w:hint="eastAsia" w:ascii="Times New Roman" w:hAnsi="Times New Roman" w:eastAsia="仿宋_GB2312" w:cs="仿宋_GB2312"/>
                <w:color w:val="000000"/>
                <w:sz w:val="20"/>
                <w:szCs w:val="20"/>
              </w:rPr>
              <w:t>号</w:t>
            </w:r>
            <w:r>
              <w:rPr>
                <w:rFonts w:hint="eastAsia" w:ascii="Times New Roman" w:hAnsi="Times New Roman" w:eastAsia="仿宋_GB2312" w:cs="仿宋_GB2312"/>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1</w:t>
            </w:r>
            <w:r>
              <w:rPr>
                <w:rFonts w:hint="eastAsia" w:ascii="Times New Roman" w:hAnsi="Times New Roman" w:eastAsia="仿宋_GB2312" w:cs="仿宋_GB2312"/>
                <w:color w:val="000000"/>
                <w:sz w:val="20"/>
                <w:szCs w:val="20"/>
                <w:lang w:val="en-US" w:eastAsia="zh-CN"/>
              </w:rPr>
              <w:t>8</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期货公司合并、分立、解散或者破产、变更业务范围、变更注册资本且调整股权结构、新增持有5%以上股权的股东或者控股股东发生变化审批</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中国证券监督管理委员会及其派出</w:t>
            </w:r>
          </w:p>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机构</w:t>
            </w:r>
          </w:p>
        </w:tc>
        <w:tc>
          <w:tcPr>
            <w:tcW w:w="400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《期货交易管理条例》</w:t>
            </w:r>
          </w:p>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《国务院关于第六批取消和调整行政审批项目的决定》（</w:t>
            </w:r>
            <w:r>
              <w:rPr>
                <w:rFonts w:hint="eastAsia" w:ascii="Times New Roman" w:hAnsi="Times New Roman" w:eastAsia="仿宋_GB2312" w:cs="仿宋_GB2312"/>
                <w:color w:val="000000"/>
                <w:sz w:val="20"/>
                <w:szCs w:val="20"/>
              </w:rPr>
              <w:t>国发〔</w:t>
            </w:r>
            <w:r>
              <w:rPr>
                <w:rFonts w:hint="eastAsia" w:ascii="Times New Roman" w:hAnsi="Times New Roman" w:eastAsia="仿宋_GB2312" w:cs="仿宋_GB2312"/>
                <w:color w:val="000000"/>
                <w:sz w:val="20"/>
                <w:szCs w:val="20"/>
                <w:lang w:val="en-US" w:eastAsia="zh-CN"/>
              </w:rPr>
              <w:t>2012</w:t>
            </w: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val="en-US" w:eastAsia="zh-CN"/>
              </w:rPr>
              <w:t>52</w:t>
            </w:r>
            <w:r>
              <w:rPr>
                <w:rFonts w:hint="eastAsia" w:ascii="Times New Roman" w:hAnsi="Times New Roman" w:eastAsia="仿宋_GB2312" w:cs="仿宋_GB2312"/>
                <w:color w:val="000000"/>
                <w:sz w:val="20"/>
                <w:szCs w:val="20"/>
              </w:rPr>
              <w:t>号</w:t>
            </w:r>
            <w:r>
              <w:rPr>
                <w:rFonts w:hint="eastAsia" w:ascii="Times New Roman" w:hAnsi="Times New Roman" w:eastAsia="仿宋_GB2312" w:cs="仿宋_GB2312"/>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19</w:t>
            </w:r>
          </w:p>
        </w:tc>
        <w:tc>
          <w:tcPr>
            <w:tcW w:w="325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外国证券类机构驻华代表机构名称变更核准</w:t>
            </w:r>
          </w:p>
        </w:tc>
        <w:tc>
          <w:tcPr>
            <w:tcW w:w="1920"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中国证券监督管理委员会及其派出机构</w:t>
            </w:r>
          </w:p>
        </w:tc>
        <w:tc>
          <w:tcPr>
            <w:tcW w:w="4005" w:type="dxa"/>
            <w:vAlign w:val="center"/>
          </w:tcPr>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p>
            <w:pPr>
              <w:widowControl/>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《外国企业常驻代表机构登记管理条例》</w:t>
            </w:r>
          </w:p>
          <w:p>
            <w:pPr>
              <w:widowControl/>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《证券公司监督管理条例》</w:t>
            </w:r>
          </w:p>
          <w:p>
            <w:pPr>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《国务院关于管理外国企业常驻代表机构的暂行规定》（国发〔1980〕272号）</w:t>
            </w:r>
          </w:p>
          <w:p>
            <w:pPr>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《国务院关于第四批取消和调整行政审批项目的决定》（</w:t>
            </w:r>
            <w:r>
              <w:rPr>
                <w:rFonts w:hint="eastAsia" w:ascii="Times New Roman" w:hAnsi="Times New Roman" w:eastAsia="仿宋_GB2312" w:cs="仿宋_GB2312"/>
                <w:color w:val="000000"/>
                <w:sz w:val="20"/>
                <w:szCs w:val="20"/>
              </w:rPr>
              <w:t>国发〔</w:t>
            </w:r>
            <w:r>
              <w:rPr>
                <w:rFonts w:hint="eastAsia" w:ascii="Times New Roman" w:hAnsi="Times New Roman" w:eastAsia="仿宋_GB2312" w:cs="仿宋_GB2312"/>
                <w:color w:val="000000"/>
                <w:sz w:val="20"/>
                <w:szCs w:val="20"/>
                <w:lang w:val="en-US" w:eastAsia="zh-CN"/>
              </w:rPr>
              <w:t>2007</w:t>
            </w: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val="en-US" w:eastAsia="zh-CN"/>
              </w:rPr>
              <w:t>33</w:t>
            </w:r>
            <w:r>
              <w:rPr>
                <w:rFonts w:hint="eastAsia" w:ascii="Times New Roman" w:hAnsi="Times New Roman" w:eastAsia="仿宋_GB2312" w:cs="仿宋_GB2312"/>
                <w:color w:val="000000"/>
                <w:sz w:val="20"/>
                <w:szCs w:val="20"/>
              </w:rPr>
              <w:t>号</w:t>
            </w:r>
            <w:r>
              <w:rPr>
                <w:rFonts w:hint="eastAsia" w:ascii="Times New Roman" w:hAnsi="Times New Roman" w:eastAsia="仿宋_GB2312" w:cs="仿宋_GB2312"/>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w:t>
            </w:r>
          </w:p>
        </w:tc>
        <w:tc>
          <w:tcPr>
            <w:tcW w:w="3255" w:type="dxa"/>
            <w:vAlign w:val="center"/>
          </w:tcPr>
          <w:p>
            <w:pPr>
              <w:adjustRightInd/>
              <w:snapToGrid/>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2"/>
                <w:sz w:val="20"/>
                <w:szCs w:val="20"/>
              </w:rPr>
              <w:t>使用“交易所”字样的交易场所审批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2"/>
                <w:sz w:val="20"/>
                <w:szCs w:val="20"/>
              </w:rPr>
              <w:t>国务院或国务院金融管理部门、省级人民政府</w:t>
            </w:r>
          </w:p>
        </w:tc>
        <w:tc>
          <w:tcPr>
            <w:tcW w:w="4005" w:type="dxa"/>
            <w:vAlign w:val="center"/>
          </w:tcPr>
          <w:p>
            <w:pPr>
              <w:widowControl/>
              <w:adjustRightInd/>
              <w:snapToGrid/>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《防范和处置非法集资条例》</w:t>
            </w:r>
          </w:p>
          <w:p>
            <w:pPr>
              <w:adjustRightInd/>
              <w:snapToGrid/>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《国务院关于清理整顿各类交易场所切实防范金融风险的决定》（国发〔2011〕38号）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1</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rPr>
              <w:t>从事保险、信贷、黄金等金融产品交易的交易场所审批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国务院相关金融管理部门</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《国务院关于清理整顿各类交易场所切实防范金融风险的决定》（国发〔2011〕38号）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2</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保险公司变更名称、变更注册资本、变更公司或者分支机构的营业场所、撤销分支机构、公司分立或者合并、修改公司章程、变更出资额占有限责任公司资本总额百分之五以上的股东，或者变更持有股份有限公司股份百分之五以上的股东及保险公司终止（解散、破产）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kern w:val="0"/>
                <w:sz w:val="20"/>
                <w:szCs w:val="20"/>
              </w:rPr>
              <w:t>中华人民共和国</w:t>
            </w:r>
            <w:r>
              <w:rPr>
                <w:rFonts w:hint="eastAsia" w:ascii="Times New Roman" w:hAnsi="Times New Roman" w:eastAsia="仿宋_GB2312" w:cs="仿宋_GB2312"/>
                <w:color w:val="000000"/>
                <w:sz w:val="20"/>
                <w:szCs w:val="20"/>
              </w:rPr>
              <w:t>保险法》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3</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专属自保组织和相互保险组织合并、分立、变更、解散审批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4</w:t>
            </w:r>
          </w:p>
        </w:tc>
        <w:tc>
          <w:tcPr>
            <w:tcW w:w="325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保险资产管理公司重大事项变更审批。保险资产管理公司及其分支机构终止（解散、破产和分支机构撤销）审批</w:t>
            </w:r>
          </w:p>
        </w:tc>
        <w:tc>
          <w:tcPr>
            <w:tcW w:w="1920"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r>
              <w:rPr>
                <w:rFonts w:hint="eastAsia" w:ascii="Times New Roman" w:hAnsi="Times New Roman" w:eastAsia="仿宋_GB2312" w:cs="仿宋_GB2312"/>
                <w:color w:val="000000"/>
                <w:sz w:val="20"/>
                <w:szCs w:val="20"/>
              </w:rPr>
              <w:t>（会同</w:t>
            </w:r>
            <w:r>
              <w:rPr>
                <w:rFonts w:hint="eastAsia" w:ascii="Times New Roman" w:hAnsi="Times New Roman" w:eastAsia="仿宋_GB2312" w:cs="仿宋_GB2312"/>
                <w:color w:val="000000"/>
                <w:kern w:val="0"/>
                <w:sz w:val="20"/>
                <w:szCs w:val="20"/>
                <w:lang w:eastAsia="zh-CN"/>
              </w:rPr>
              <w:t>中国证券监督管理委员会</w:t>
            </w:r>
            <w:r>
              <w:rPr>
                <w:rFonts w:hint="eastAsia" w:ascii="Times New Roman" w:hAnsi="Times New Roman" w:eastAsia="仿宋_GB2312" w:cs="仿宋_GB2312"/>
                <w:color w:val="000000"/>
                <w:sz w:val="20"/>
                <w:szCs w:val="20"/>
              </w:rPr>
              <w:t>）</w:t>
            </w:r>
          </w:p>
        </w:tc>
        <w:tc>
          <w:tcPr>
            <w:tcW w:w="4005" w:type="dxa"/>
            <w:vAlign w:val="center"/>
          </w:tcPr>
          <w:p>
            <w:pPr>
              <w:pStyle w:val="7"/>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5</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保险集团公司及保险控股公司合并、分立、变更、解散审批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6</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外国保险机构驻华代表机构重大事项变更审批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eastAsia="zh-CN"/>
              </w:rPr>
              <w:t>中国银行保险监督管理委员会</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《国务院对确需保留的行政审批项目设定行政许可的决定》（国务院令第412号）</w:t>
            </w:r>
          </w:p>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《外国企业常驻代表机构登记管理条例》</w:t>
            </w:r>
          </w:p>
          <w:p>
            <w:pPr>
              <w:adjustRightInd w:val="0"/>
              <w:snapToGrid w:val="0"/>
              <w:spacing w:line="340" w:lineRule="exact"/>
              <w:jc w:val="center"/>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《国务院关于管理外国企业常驻代表机构的暂行规定》（国发〔1980〕272号）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10"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7</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烟草制品生产企业分立、合并、撤销的审批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国家烟草专卖局</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《中华人民共和国烟草专卖法》</w:t>
            </w:r>
          </w:p>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《烟草专卖法实施条例》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10" w:hRule="atLeast"/>
          <w:jc w:val="center"/>
        </w:trPr>
        <w:tc>
          <w:tcPr>
            <w:tcW w:w="552" w:type="dxa"/>
            <w:vAlign w:val="center"/>
          </w:tcPr>
          <w:p>
            <w:pPr>
              <w:adjustRightInd w:val="0"/>
              <w:snapToGrid w:val="0"/>
              <w:spacing w:line="32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2</w:t>
            </w:r>
            <w:r>
              <w:rPr>
                <w:rFonts w:hint="eastAsia" w:ascii="Times New Roman" w:hAnsi="Times New Roman" w:eastAsia="仿宋_GB2312" w:cs="仿宋_GB2312"/>
                <w:color w:val="000000"/>
                <w:sz w:val="20"/>
                <w:szCs w:val="20"/>
                <w:lang w:val="en-US" w:eastAsia="zh-CN"/>
              </w:rPr>
              <w:t>8</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kern w:val="0"/>
                <w:sz w:val="20"/>
                <w:szCs w:val="20"/>
              </w:rPr>
              <w:t>营利性民办学校(营利性民办培训机构)</w:t>
            </w:r>
            <w:r>
              <w:rPr>
                <w:rFonts w:hint="eastAsia" w:ascii="Times New Roman" w:hAnsi="Times New Roman" w:eastAsia="仿宋_GB2312" w:cs="仿宋_GB2312"/>
                <w:color w:val="000000"/>
                <w:sz w:val="18"/>
                <w:szCs w:val="18"/>
              </w:rPr>
              <w:t xml:space="preserve"> </w:t>
            </w:r>
            <w:r>
              <w:rPr>
                <w:rFonts w:hint="eastAsia" w:ascii="Times New Roman" w:hAnsi="Times New Roman" w:eastAsia="仿宋_GB2312" w:cs="仿宋_GB2312"/>
                <w:color w:val="000000"/>
                <w:kern w:val="0"/>
                <w:sz w:val="20"/>
                <w:szCs w:val="20"/>
              </w:rPr>
              <w:t>名称、层次、类别的变更，分立，合并，终止</w:t>
            </w:r>
            <w:bookmarkStart w:id="1" w:name="_GoBack"/>
            <w:bookmarkEnd w:id="1"/>
          </w:p>
        </w:tc>
        <w:tc>
          <w:tcPr>
            <w:tcW w:w="1920" w:type="dxa"/>
            <w:vAlign w:val="center"/>
          </w:tcPr>
          <w:p>
            <w:pPr>
              <w:adjustRightInd w:val="0"/>
              <w:snapToGrid w:val="0"/>
              <w:spacing w:line="340" w:lineRule="exact"/>
              <w:jc w:val="both"/>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rPr>
              <w:t>县级以上人民政府教育行政部门、县级以上人民政府</w:t>
            </w:r>
            <w:r>
              <w:rPr>
                <w:rFonts w:hint="eastAsia" w:ascii="Times New Roman" w:hAnsi="Times New Roman" w:eastAsia="仿宋_GB2312" w:cs="仿宋_GB2312"/>
                <w:color w:val="000000"/>
                <w:kern w:val="0"/>
                <w:sz w:val="20"/>
                <w:szCs w:val="20"/>
                <w:lang w:eastAsia="zh-CN"/>
              </w:rPr>
              <w:t>人力资源社会保障部门</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rPr>
              <w:t>《中华人民共和国民办教育促进法》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10" w:hRule="atLeast"/>
          <w:jc w:val="center"/>
        </w:trPr>
        <w:tc>
          <w:tcPr>
            <w:tcW w:w="552" w:type="dxa"/>
            <w:vAlign w:val="center"/>
          </w:tcPr>
          <w:p>
            <w:pPr>
              <w:adjustRightInd w:val="0"/>
              <w:snapToGrid w:val="0"/>
              <w:spacing w:line="320" w:lineRule="exact"/>
              <w:jc w:val="center"/>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29</w:t>
            </w:r>
          </w:p>
        </w:tc>
        <w:tc>
          <w:tcPr>
            <w:tcW w:w="3255"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金融控股公司变更名称、住所、注册资本、持有5%以上股权的股东、实际控制人，修改公司章程，投资控股其他金融机构，增加或者减少对所控股金融机构的出资或者持股比例导致控制权变更或者丧失，分立、合并、解散或者破产审批</w:t>
            </w:r>
          </w:p>
        </w:tc>
        <w:tc>
          <w:tcPr>
            <w:tcW w:w="1920"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中国人民银行</w:t>
            </w:r>
          </w:p>
        </w:tc>
        <w:tc>
          <w:tcPr>
            <w:tcW w:w="4005" w:type="dxa"/>
            <w:vAlign w:val="center"/>
          </w:tcPr>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《国务院关于实施金融控股公司准入管理的决定》（国发〔</w:t>
            </w:r>
            <w:r>
              <w:rPr>
                <w:rFonts w:hint="eastAsia" w:ascii="Times New Roman" w:hAnsi="Times New Roman" w:eastAsia="仿宋_GB2312" w:cs="仿宋_GB2312"/>
                <w:color w:val="000000"/>
                <w:kern w:val="0"/>
                <w:sz w:val="20"/>
                <w:szCs w:val="20"/>
                <w:lang w:val="en-US" w:eastAsia="zh-CN"/>
              </w:rPr>
              <w:t>2020</w:t>
            </w:r>
            <w:r>
              <w:rPr>
                <w:rFonts w:hint="eastAsia" w:ascii="Times New Roman" w:hAnsi="Times New Roman" w:eastAsia="仿宋_GB2312" w:cs="仿宋_GB2312"/>
                <w:color w:val="000000"/>
                <w:kern w:val="0"/>
                <w:sz w:val="20"/>
                <w:szCs w:val="20"/>
                <w:lang w:eastAsia="zh-CN"/>
              </w:rPr>
              <w:t>〕</w:t>
            </w:r>
            <w:r>
              <w:rPr>
                <w:rFonts w:hint="eastAsia" w:ascii="Times New Roman" w:hAnsi="Times New Roman" w:eastAsia="仿宋_GB2312" w:cs="仿宋_GB2312"/>
                <w:color w:val="000000"/>
                <w:kern w:val="0"/>
                <w:sz w:val="20"/>
                <w:szCs w:val="20"/>
                <w:lang w:val="en-US" w:eastAsia="zh-CN"/>
              </w:rPr>
              <w:t>12号</w:t>
            </w:r>
            <w:r>
              <w:rPr>
                <w:rFonts w:hint="eastAsia" w:ascii="Times New Roman" w:hAnsi="Times New Roman" w:eastAsia="仿宋_GB2312" w:cs="仿宋_GB2312"/>
                <w:color w:val="000000"/>
                <w:kern w:val="0"/>
                <w:sz w:val="20"/>
                <w:szCs w:val="20"/>
                <w:lang w:eastAsia="zh-CN"/>
              </w:rPr>
              <w:t>）</w:t>
            </w:r>
          </w:p>
          <w:p>
            <w:pPr>
              <w:adjustRightInd w:val="0"/>
              <w:snapToGrid w:val="0"/>
              <w:spacing w:line="340" w:lineRule="exact"/>
              <w:jc w:val="center"/>
              <w:rPr>
                <w:rFonts w:hint="eastAsia" w:ascii="Times New Roman" w:hAnsi="Times New Roman" w:eastAsia="仿宋_GB2312" w:cs="仿宋_GB2312"/>
                <w:color w:val="000000"/>
                <w:kern w:val="0"/>
                <w:sz w:val="20"/>
                <w:szCs w:val="20"/>
                <w:lang w:eastAsia="zh-CN"/>
              </w:rPr>
            </w:pPr>
            <w:r>
              <w:rPr>
                <w:rFonts w:hint="eastAsia" w:ascii="Times New Roman" w:hAnsi="Times New Roman" w:eastAsia="仿宋_GB2312" w:cs="仿宋_GB2312"/>
                <w:color w:val="000000"/>
                <w:kern w:val="0"/>
                <w:sz w:val="20"/>
                <w:szCs w:val="20"/>
                <w:lang w:eastAsia="zh-CN"/>
              </w:rPr>
              <w:t>《金融控股公司监督管理试行办法》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935" w:hRule="atLeast"/>
          <w:jc w:val="center"/>
        </w:trPr>
        <w:tc>
          <w:tcPr>
            <w:tcW w:w="9732" w:type="dxa"/>
            <w:gridSpan w:val="4"/>
            <w:vAlign w:val="center"/>
          </w:tcPr>
          <w:p>
            <w:pPr>
              <w:ind w:left="-2" w:leftChars="-1" w:firstLine="220" w:firstLineChars="103"/>
              <w:jc w:val="center"/>
              <w:rPr>
                <w:rFonts w:hint="eastAsia" w:ascii="Times New Roman" w:hAnsi="Times New Roman" w:eastAsia="宋体"/>
                <w:color w:val="000000"/>
                <w:sz w:val="22"/>
                <w:szCs w:val="20"/>
              </w:rPr>
            </w:pPr>
            <w:r>
              <w:rPr>
                <w:rFonts w:hint="eastAsia" w:ascii="Times New Roman" w:hAnsi="Times New Roman" w:eastAsia="仿宋_GB2312" w:cs="仿宋_GB2312"/>
                <w:color w:val="000000"/>
                <w:sz w:val="22"/>
                <w:szCs w:val="20"/>
              </w:rPr>
              <w:t>注：以上前置审批事项，涉及</w:t>
            </w:r>
            <w:r>
              <w:rPr>
                <w:rFonts w:hint="eastAsia" w:ascii="Times New Roman" w:hAnsi="Times New Roman" w:eastAsia="仿宋_GB2312" w:cs="仿宋_GB2312"/>
                <w:color w:val="000000"/>
                <w:sz w:val="22"/>
                <w:szCs w:val="20"/>
                <w:lang w:eastAsia="zh-CN"/>
              </w:rPr>
              <w:t>企业</w:t>
            </w:r>
            <w:r>
              <w:rPr>
                <w:rFonts w:hint="eastAsia" w:ascii="Times New Roman" w:hAnsi="Times New Roman" w:eastAsia="仿宋_GB2312" w:cs="仿宋_GB2312"/>
                <w:color w:val="000000"/>
                <w:sz w:val="22"/>
                <w:szCs w:val="20"/>
              </w:rPr>
              <w:t>登记事项的，凭审批文件办理变更、注销登记。</w:t>
            </w:r>
          </w:p>
        </w:tc>
      </w:tr>
      <w:bookmarkEnd w:id="0"/>
    </w:tbl>
    <w:p>
      <w:pPr>
        <w:spacing w:line="14" w:lineRule="exact"/>
        <w:rPr>
          <w:rFonts w:hint="default" w:eastAsia="宋体"/>
          <w:sz w:val="21"/>
          <w:szCs w:val="24"/>
          <w:lang w:val="en-US" w:eastAsia="zh-CN"/>
        </w:rPr>
      </w:pPr>
    </w:p>
    <w:sectPr>
      <w:footerReference r:id="rId3" w:type="default"/>
      <w:footerReference r:id="rId4" w:type="even"/>
      <w:pgSz w:w="11906" w:h="16838"/>
      <w:pgMar w:top="1984" w:right="1474" w:bottom="1644" w:left="1474" w:header="851" w:footer="1191" w:gutter="0"/>
      <w:pgNumType w:fmt="numberInDash"/>
      <w:cols w:space="720" w:num="1"/>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page" w:hAnchor="page" w:x="9134" w:y="15280"/>
      <w:ind w:right="-29" w:rightChars="-14"/>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 PAGE  \* Arabic </w:instrText>
    </w:r>
    <w:r>
      <w:rPr>
        <w:rFonts w:ascii="宋体" w:hAnsi="宋体"/>
        <w:sz w:val="28"/>
        <w:szCs w:val="28"/>
      </w:rPr>
      <w:fldChar w:fldCharType="separate"/>
    </w:r>
    <w:r>
      <w:rPr>
        <w:rStyle w:val="5"/>
        <w:rFonts w:ascii="宋体" w:hAnsi="宋体"/>
        <w:sz w:val="28"/>
        <w:szCs w:val="28"/>
      </w:rPr>
      <w:t>3</w:t>
    </w:r>
    <w:r>
      <w:rPr>
        <w:rFonts w:ascii="宋体" w:hAnsi="宋体"/>
        <w:sz w:val="28"/>
        <w:szCs w:val="28"/>
      </w:rPr>
      <w:fldChar w:fldCharType="end"/>
    </w:r>
    <w:r>
      <w:rPr>
        <w:rStyle w:val="5"/>
        <w:rFonts w:hint="eastAsia" w:ascii="宋体" w:hAnsi="宋体"/>
        <w:sz w:val="28"/>
        <w:szCs w:val="28"/>
      </w:rPr>
      <w:t xml:space="preserve"> —  </w:t>
    </w:r>
  </w:p>
  <w:p>
    <w:pPr>
      <w:pStyle w:val="2"/>
      <w:spacing w:line="20" w:lineRule="exact"/>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page" w:hAnchor="page" w:x="1832" w:y="15280"/>
      <w:ind w:left="210" w:leftChars="0" w:hanging="210" w:hangingChars="75"/>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 PAGE  \* Arabic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p>
    <w:pPr>
      <w:pStyle w:val="2"/>
      <w:spacing w:line="20" w:lineRule="exact"/>
      <w:ind w:right="35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evenAndOddHeaders w:val="1"/>
  <w:drawingGridHorizontalSpacing w:val="102"/>
  <w:drawingGridVerticalSpacing w:val="14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3B"/>
    <w:rsid w:val="00003A4D"/>
    <w:rsid w:val="00015C60"/>
    <w:rsid w:val="00044388"/>
    <w:rsid w:val="0005066C"/>
    <w:rsid w:val="00052B1C"/>
    <w:rsid w:val="0005386C"/>
    <w:rsid w:val="00096AF1"/>
    <w:rsid w:val="000B684E"/>
    <w:rsid w:val="000B6F15"/>
    <w:rsid w:val="000C108E"/>
    <w:rsid w:val="000C1717"/>
    <w:rsid w:val="000C3733"/>
    <w:rsid w:val="000C7C86"/>
    <w:rsid w:val="0010712D"/>
    <w:rsid w:val="00111CCF"/>
    <w:rsid w:val="001165DF"/>
    <w:rsid w:val="0013549C"/>
    <w:rsid w:val="0014015D"/>
    <w:rsid w:val="001535A7"/>
    <w:rsid w:val="001653FC"/>
    <w:rsid w:val="0019093B"/>
    <w:rsid w:val="001A0245"/>
    <w:rsid w:val="001B449F"/>
    <w:rsid w:val="001B5F7E"/>
    <w:rsid w:val="001B67EB"/>
    <w:rsid w:val="00200C32"/>
    <w:rsid w:val="00203867"/>
    <w:rsid w:val="00206602"/>
    <w:rsid w:val="002233F5"/>
    <w:rsid w:val="00230604"/>
    <w:rsid w:val="00234B0C"/>
    <w:rsid w:val="0023770C"/>
    <w:rsid w:val="00242417"/>
    <w:rsid w:val="00243E19"/>
    <w:rsid w:val="0026542E"/>
    <w:rsid w:val="00272889"/>
    <w:rsid w:val="00273C2E"/>
    <w:rsid w:val="002768EB"/>
    <w:rsid w:val="00284D81"/>
    <w:rsid w:val="002B7974"/>
    <w:rsid w:val="002E0E52"/>
    <w:rsid w:val="002E3C7C"/>
    <w:rsid w:val="002E7585"/>
    <w:rsid w:val="002F17F2"/>
    <w:rsid w:val="002F59D9"/>
    <w:rsid w:val="003004CB"/>
    <w:rsid w:val="00307C86"/>
    <w:rsid w:val="00311F75"/>
    <w:rsid w:val="003212F7"/>
    <w:rsid w:val="003367EA"/>
    <w:rsid w:val="003603AF"/>
    <w:rsid w:val="00361B8F"/>
    <w:rsid w:val="00382E59"/>
    <w:rsid w:val="00390116"/>
    <w:rsid w:val="003911B9"/>
    <w:rsid w:val="003A2DA7"/>
    <w:rsid w:val="003A6624"/>
    <w:rsid w:val="003A6CDC"/>
    <w:rsid w:val="003B274E"/>
    <w:rsid w:val="003B74FB"/>
    <w:rsid w:val="003C3CFD"/>
    <w:rsid w:val="003C55A0"/>
    <w:rsid w:val="003C682D"/>
    <w:rsid w:val="003E07C6"/>
    <w:rsid w:val="0040068F"/>
    <w:rsid w:val="0041126D"/>
    <w:rsid w:val="00450818"/>
    <w:rsid w:val="00464A77"/>
    <w:rsid w:val="004676E9"/>
    <w:rsid w:val="00470211"/>
    <w:rsid w:val="00486503"/>
    <w:rsid w:val="004B62D6"/>
    <w:rsid w:val="004C39B8"/>
    <w:rsid w:val="004C4F91"/>
    <w:rsid w:val="004D4C3D"/>
    <w:rsid w:val="004D5194"/>
    <w:rsid w:val="004D5B74"/>
    <w:rsid w:val="00511FE8"/>
    <w:rsid w:val="00537D75"/>
    <w:rsid w:val="00545623"/>
    <w:rsid w:val="00545C5B"/>
    <w:rsid w:val="00547FE6"/>
    <w:rsid w:val="0056010B"/>
    <w:rsid w:val="00572160"/>
    <w:rsid w:val="005751E3"/>
    <w:rsid w:val="005833DE"/>
    <w:rsid w:val="00593EB7"/>
    <w:rsid w:val="005A6FC8"/>
    <w:rsid w:val="005D0EE0"/>
    <w:rsid w:val="005D3DCC"/>
    <w:rsid w:val="005D555D"/>
    <w:rsid w:val="005E0AD9"/>
    <w:rsid w:val="005F2447"/>
    <w:rsid w:val="0062082B"/>
    <w:rsid w:val="00633319"/>
    <w:rsid w:val="00634466"/>
    <w:rsid w:val="0064131C"/>
    <w:rsid w:val="006554DD"/>
    <w:rsid w:val="006723F8"/>
    <w:rsid w:val="00682AD8"/>
    <w:rsid w:val="00691C5D"/>
    <w:rsid w:val="006A2B4C"/>
    <w:rsid w:val="006B5231"/>
    <w:rsid w:val="006C4A2D"/>
    <w:rsid w:val="006C7F3B"/>
    <w:rsid w:val="006F1CEE"/>
    <w:rsid w:val="007050E0"/>
    <w:rsid w:val="007157B6"/>
    <w:rsid w:val="00721181"/>
    <w:rsid w:val="00734C68"/>
    <w:rsid w:val="0077261D"/>
    <w:rsid w:val="00772B5A"/>
    <w:rsid w:val="007930D4"/>
    <w:rsid w:val="007A0E30"/>
    <w:rsid w:val="007A3AED"/>
    <w:rsid w:val="007A3C75"/>
    <w:rsid w:val="007E02F4"/>
    <w:rsid w:val="007F0694"/>
    <w:rsid w:val="007F0E60"/>
    <w:rsid w:val="00811E43"/>
    <w:rsid w:val="008155C0"/>
    <w:rsid w:val="008271E0"/>
    <w:rsid w:val="00833AD3"/>
    <w:rsid w:val="00847D0E"/>
    <w:rsid w:val="00857F35"/>
    <w:rsid w:val="008603FD"/>
    <w:rsid w:val="0088515C"/>
    <w:rsid w:val="00886904"/>
    <w:rsid w:val="00891223"/>
    <w:rsid w:val="008A04F8"/>
    <w:rsid w:val="008A3ED2"/>
    <w:rsid w:val="008A4B13"/>
    <w:rsid w:val="008B3D74"/>
    <w:rsid w:val="008C1505"/>
    <w:rsid w:val="008C3283"/>
    <w:rsid w:val="008D0E73"/>
    <w:rsid w:val="008D2DF0"/>
    <w:rsid w:val="008E1F73"/>
    <w:rsid w:val="008E424F"/>
    <w:rsid w:val="00925758"/>
    <w:rsid w:val="0092754F"/>
    <w:rsid w:val="009427B2"/>
    <w:rsid w:val="00946AC0"/>
    <w:rsid w:val="00952532"/>
    <w:rsid w:val="00973B75"/>
    <w:rsid w:val="00973F2B"/>
    <w:rsid w:val="009862E8"/>
    <w:rsid w:val="009C35E5"/>
    <w:rsid w:val="009E5CEC"/>
    <w:rsid w:val="009E659A"/>
    <w:rsid w:val="009F045D"/>
    <w:rsid w:val="009F7CF4"/>
    <w:rsid w:val="00A06596"/>
    <w:rsid w:val="00A135BD"/>
    <w:rsid w:val="00A301C0"/>
    <w:rsid w:val="00A3338C"/>
    <w:rsid w:val="00A44E06"/>
    <w:rsid w:val="00A54AB7"/>
    <w:rsid w:val="00A55315"/>
    <w:rsid w:val="00A65A4B"/>
    <w:rsid w:val="00A90D1B"/>
    <w:rsid w:val="00AA1E81"/>
    <w:rsid w:val="00AA4993"/>
    <w:rsid w:val="00AA68DA"/>
    <w:rsid w:val="00AA7D00"/>
    <w:rsid w:val="00AC3C00"/>
    <w:rsid w:val="00AD0E93"/>
    <w:rsid w:val="00AD542B"/>
    <w:rsid w:val="00AF4521"/>
    <w:rsid w:val="00AF4880"/>
    <w:rsid w:val="00AF50A4"/>
    <w:rsid w:val="00B500F1"/>
    <w:rsid w:val="00B53539"/>
    <w:rsid w:val="00B63660"/>
    <w:rsid w:val="00B716EF"/>
    <w:rsid w:val="00B72BB7"/>
    <w:rsid w:val="00B75B51"/>
    <w:rsid w:val="00B87CA7"/>
    <w:rsid w:val="00B9341B"/>
    <w:rsid w:val="00BA4E25"/>
    <w:rsid w:val="00BC3298"/>
    <w:rsid w:val="00BD1F27"/>
    <w:rsid w:val="00BD4062"/>
    <w:rsid w:val="00BE1BFB"/>
    <w:rsid w:val="00BE5C27"/>
    <w:rsid w:val="00BF1EF9"/>
    <w:rsid w:val="00BF2AEC"/>
    <w:rsid w:val="00C04FD8"/>
    <w:rsid w:val="00C147E3"/>
    <w:rsid w:val="00C24AEE"/>
    <w:rsid w:val="00C47B6E"/>
    <w:rsid w:val="00C54BF5"/>
    <w:rsid w:val="00C7571E"/>
    <w:rsid w:val="00C83848"/>
    <w:rsid w:val="00C9179B"/>
    <w:rsid w:val="00CA256F"/>
    <w:rsid w:val="00CD0A64"/>
    <w:rsid w:val="00CD0B20"/>
    <w:rsid w:val="00D20FF5"/>
    <w:rsid w:val="00D21574"/>
    <w:rsid w:val="00D33805"/>
    <w:rsid w:val="00D33DFB"/>
    <w:rsid w:val="00D4155F"/>
    <w:rsid w:val="00D533CE"/>
    <w:rsid w:val="00D5626B"/>
    <w:rsid w:val="00D60AFA"/>
    <w:rsid w:val="00D76DED"/>
    <w:rsid w:val="00D80741"/>
    <w:rsid w:val="00D90DD3"/>
    <w:rsid w:val="00D94500"/>
    <w:rsid w:val="00DA2233"/>
    <w:rsid w:val="00DC6F09"/>
    <w:rsid w:val="00DD22CA"/>
    <w:rsid w:val="00DD50D2"/>
    <w:rsid w:val="00DE73D7"/>
    <w:rsid w:val="00DF51DB"/>
    <w:rsid w:val="00E13A28"/>
    <w:rsid w:val="00E178C2"/>
    <w:rsid w:val="00E2087A"/>
    <w:rsid w:val="00E21872"/>
    <w:rsid w:val="00E50D53"/>
    <w:rsid w:val="00E57982"/>
    <w:rsid w:val="00E60AF6"/>
    <w:rsid w:val="00E638E6"/>
    <w:rsid w:val="00E70CFF"/>
    <w:rsid w:val="00E93FB6"/>
    <w:rsid w:val="00E97C50"/>
    <w:rsid w:val="00EA2A65"/>
    <w:rsid w:val="00EB46A9"/>
    <w:rsid w:val="00EB479E"/>
    <w:rsid w:val="00EB4966"/>
    <w:rsid w:val="00EE2846"/>
    <w:rsid w:val="00F01E65"/>
    <w:rsid w:val="00F0318D"/>
    <w:rsid w:val="00F2159A"/>
    <w:rsid w:val="00F31CB8"/>
    <w:rsid w:val="00F33AD3"/>
    <w:rsid w:val="00F43EB4"/>
    <w:rsid w:val="00F6029C"/>
    <w:rsid w:val="00F82544"/>
    <w:rsid w:val="00F907DC"/>
    <w:rsid w:val="00F917ED"/>
    <w:rsid w:val="00F92BEB"/>
    <w:rsid w:val="00F95B3C"/>
    <w:rsid w:val="00FA51A5"/>
    <w:rsid w:val="00FA63DC"/>
    <w:rsid w:val="00FB3144"/>
    <w:rsid w:val="00FC354C"/>
    <w:rsid w:val="00FD0A4D"/>
    <w:rsid w:val="00FD1CF0"/>
    <w:rsid w:val="00FF3598"/>
    <w:rsid w:val="094B2BE2"/>
    <w:rsid w:val="09F83162"/>
    <w:rsid w:val="100260D5"/>
    <w:rsid w:val="10BD49C8"/>
    <w:rsid w:val="152777B3"/>
    <w:rsid w:val="16B95A05"/>
    <w:rsid w:val="1F8E67C3"/>
    <w:rsid w:val="213A6C19"/>
    <w:rsid w:val="2469288B"/>
    <w:rsid w:val="248601A1"/>
    <w:rsid w:val="26522FBD"/>
    <w:rsid w:val="26E217C0"/>
    <w:rsid w:val="27E73397"/>
    <w:rsid w:val="286970FD"/>
    <w:rsid w:val="2D521777"/>
    <w:rsid w:val="2ED25E69"/>
    <w:rsid w:val="2EDE7EEF"/>
    <w:rsid w:val="35341B90"/>
    <w:rsid w:val="364A0B96"/>
    <w:rsid w:val="37886D30"/>
    <w:rsid w:val="388E514A"/>
    <w:rsid w:val="3A1E0ECB"/>
    <w:rsid w:val="3ACA269F"/>
    <w:rsid w:val="3BEA08F2"/>
    <w:rsid w:val="40B40A12"/>
    <w:rsid w:val="42984E24"/>
    <w:rsid w:val="42DE1E41"/>
    <w:rsid w:val="44FA0CA1"/>
    <w:rsid w:val="4599376B"/>
    <w:rsid w:val="47BC30DB"/>
    <w:rsid w:val="481E0374"/>
    <w:rsid w:val="4CD72D9E"/>
    <w:rsid w:val="4E4974AB"/>
    <w:rsid w:val="4FB4126C"/>
    <w:rsid w:val="532C78EE"/>
    <w:rsid w:val="53E24437"/>
    <w:rsid w:val="570D11AE"/>
    <w:rsid w:val="57F90D46"/>
    <w:rsid w:val="5AA64F2A"/>
    <w:rsid w:val="5AF54653"/>
    <w:rsid w:val="5B050C25"/>
    <w:rsid w:val="5B910B4E"/>
    <w:rsid w:val="5C02545F"/>
    <w:rsid w:val="5C0F3234"/>
    <w:rsid w:val="5D913649"/>
    <w:rsid w:val="5EAD3230"/>
    <w:rsid w:val="5EE15EEA"/>
    <w:rsid w:val="637549F8"/>
    <w:rsid w:val="6718714E"/>
    <w:rsid w:val="6D8A27E1"/>
    <w:rsid w:val="701039AD"/>
    <w:rsid w:val="70DA7B98"/>
    <w:rsid w:val="738037F1"/>
    <w:rsid w:val="74FD44A3"/>
    <w:rsid w:val="77AE09AA"/>
    <w:rsid w:val="79C113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paragraph" w:customStyle="1" w:styleId="7">
    <w:name w:val="正文 New"/>
    <w:basedOn w:val="1"/>
    <w:qFormat/>
    <w:uiPriority w:val="0"/>
    <w:pPr>
      <w:spacing w:line="240" w:lineRule="atLeast"/>
    </w:pPr>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ompany>
  <Pages>1</Pages>
  <Words>0</Words>
  <Characters>1</Characters>
  <Lines>1</Lines>
  <Paragraphs>1</Paragraphs>
  <TotalTime>0</TotalTime>
  <ScaleCrop>false</ScaleCrop>
  <LinksUpToDate>false</LinksUpToDate>
  <CharactersWithSpaces>1</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2008-08-26T06:59:00Z</dcterms:created>
  <dc:creator>苏丽</dc:creator>
  <cp:lastModifiedBy>NTKO</cp:lastModifiedBy>
  <dcterms:modified xsi:type="dcterms:W3CDTF">2021-04-22T06:35:28Z</dcterms:modified>
  <dc:title>附件2</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